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tabs>
          <w:tab w:val="left" w:pos="1701"/>
          <w:tab w:val="right" w:pos="9923"/>
        </w:tabs>
        <w:rPr>
          <w:rFonts w:hint="default" w:eastAsia="宋体"/>
          <w:sz w:val="24"/>
          <w:szCs w:val="24"/>
          <w:lang w:val="en-US" w:eastAsia="zh-CN"/>
        </w:rPr>
      </w:pPr>
      <w:bookmarkStart w:id="0" w:name="_Toc193024528"/>
      <w:r>
        <w:rPr>
          <w:sz w:val="24"/>
          <w:szCs w:val="24"/>
        </w:rPr>
        <w:t>3GPP TSG-RAN WG2 Meeting #12</w:t>
      </w:r>
      <w:r>
        <w:rPr>
          <w:rFonts w:hint="eastAsia" w:eastAsia="宋体"/>
          <w:sz w:val="24"/>
          <w:szCs w:val="24"/>
          <w:lang w:val="en-US" w:eastAsia="zh-CN"/>
        </w:rPr>
        <w:t>3bis</w:t>
      </w:r>
      <w:r>
        <w:rPr>
          <w:sz w:val="24"/>
          <w:szCs w:val="24"/>
        </w:rPr>
        <w:tab/>
      </w:r>
      <w:r>
        <w:rPr>
          <w:sz w:val="24"/>
          <w:szCs w:val="24"/>
        </w:rPr>
        <w:t>R2-2</w:t>
      </w:r>
      <w:r>
        <w:rPr>
          <w:rFonts w:hint="eastAsia" w:eastAsia="宋体"/>
          <w:sz w:val="24"/>
          <w:szCs w:val="24"/>
          <w:lang w:val="en-US" w:eastAsia="zh-CN"/>
        </w:rPr>
        <w:t>309974</w:t>
      </w:r>
    </w:p>
    <w:p>
      <w:pPr>
        <w:pStyle w:val="33"/>
        <w:tabs>
          <w:tab w:val="left" w:pos="1701"/>
          <w:tab w:val="right" w:pos="9923"/>
        </w:tabs>
        <w:rPr>
          <w:sz w:val="24"/>
          <w:szCs w:val="24"/>
        </w:rPr>
      </w:pPr>
      <w:r>
        <w:rPr>
          <w:rFonts w:hint="eastAsia" w:eastAsia="宋体"/>
          <w:sz w:val="24"/>
          <w:szCs w:val="24"/>
          <w:lang w:val="en-US" w:eastAsia="zh-CN"/>
        </w:rPr>
        <w:t>Xiamen</w:t>
      </w:r>
      <w:r>
        <w:rPr>
          <w:sz w:val="24"/>
          <w:szCs w:val="24"/>
        </w:rPr>
        <w:t xml:space="preserve">, </w:t>
      </w:r>
      <w:r>
        <w:rPr>
          <w:rFonts w:hint="eastAsia" w:eastAsia="宋体"/>
          <w:sz w:val="24"/>
          <w:szCs w:val="24"/>
          <w:lang w:val="en-US" w:eastAsia="zh-CN"/>
        </w:rPr>
        <w:t>China</w:t>
      </w:r>
      <w:r>
        <w:rPr>
          <w:sz w:val="24"/>
          <w:szCs w:val="24"/>
        </w:rPr>
        <w:t xml:space="preserve">, </w:t>
      </w:r>
      <w:r>
        <w:rPr>
          <w:rFonts w:hint="eastAsia" w:eastAsia="宋体"/>
          <w:sz w:val="24"/>
          <w:szCs w:val="24"/>
          <w:lang w:val="en-US" w:eastAsia="zh-CN"/>
        </w:rPr>
        <w:t>October</w:t>
      </w:r>
      <w:r>
        <w:rPr>
          <w:sz w:val="24"/>
          <w:szCs w:val="24"/>
        </w:rPr>
        <w:t xml:space="preserve"> </w:t>
      </w:r>
      <w:r>
        <w:rPr>
          <w:rFonts w:hint="eastAsia" w:eastAsia="宋体"/>
          <w:sz w:val="24"/>
          <w:szCs w:val="24"/>
          <w:lang w:val="en-US" w:eastAsia="zh-CN"/>
        </w:rPr>
        <w:t>9</w:t>
      </w:r>
      <w:r>
        <w:rPr>
          <w:sz w:val="24"/>
          <w:szCs w:val="24"/>
        </w:rPr>
        <w:t>-</w:t>
      </w:r>
      <w:r>
        <w:rPr>
          <w:rFonts w:hint="eastAsia" w:eastAsia="宋体"/>
          <w:sz w:val="24"/>
          <w:szCs w:val="24"/>
          <w:lang w:val="en-US" w:eastAsia="zh-CN"/>
        </w:rPr>
        <w:t>13</w:t>
      </w:r>
      <w:r>
        <w:rPr>
          <w:sz w:val="24"/>
          <w:szCs w:val="24"/>
        </w:rPr>
        <w:t>, 2023</w:t>
      </w:r>
    </w:p>
    <w:p>
      <w:pPr>
        <w:pStyle w:val="32"/>
        <w:jc w:val="both"/>
        <w:rPr>
          <w:rFonts w:eastAsia="宋体"/>
          <w:b w:val="0"/>
          <w:i w:val="0"/>
          <w:sz w:val="24"/>
          <w:lang w:eastAsia="zh-CN"/>
        </w:rPr>
      </w:pPr>
    </w:p>
    <w:p>
      <w:pPr>
        <w:tabs>
          <w:tab w:val="left" w:pos="1985"/>
        </w:tabs>
        <w:ind w:left="1980" w:hanging="1980"/>
        <w:jc w:val="both"/>
        <w:rPr>
          <w:rFonts w:ascii="Arial" w:hAnsi="Arial"/>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 xml:space="preserve">Discussion on remaining issues for </w:t>
      </w:r>
      <w:r>
        <w:rPr>
          <w:rFonts w:ascii="Arial" w:hAnsi="Arial"/>
          <w:b/>
          <w:sz w:val="24"/>
          <w:lang w:val="en-US" w:eastAsia="zh-CN"/>
        </w:rPr>
        <w:t>mobile IAB</w:t>
      </w:r>
    </w:p>
    <w:p>
      <w:pPr>
        <w:tabs>
          <w:tab w:val="left" w:pos="1985"/>
        </w:tabs>
        <w:jc w:val="both"/>
        <w:rPr>
          <w:rStyle w:val="160"/>
          <w:b/>
          <w:lang w:val="en-US" w:eastAsia="zh-CN"/>
        </w:rPr>
      </w:pPr>
      <w:r>
        <w:rPr>
          <w:rFonts w:ascii="Arial" w:hAnsi="Arial"/>
          <w:b/>
          <w:sz w:val="24"/>
          <w:lang w:val="fr-FR"/>
        </w:rPr>
        <w:t xml:space="preserve">Source: </w:t>
      </w:r>
      <w:r>
        <w:rPr>
          <w:rFonts w:ascii="Arial" w:hAnsi="Arial"/>
          <w:b/>
          <w:sz w:val="24"/>
          <w:lang w:val="fr-FR"/>
        </w:rPr>
        <w:tab/>
      </w:r>
      <w:r>
        <w:rPr>
          <w:rStyle w:val="160"/>
          <w:rFonts w:hint="eastAsia"/>
          <w:b/>
          <w:lang w:val="fr-FR"/>
        </w:rPr>
        <w:t>ZTE</w:t>
      </w:r>
      <w:r>
        <w:rPr>
          <w:rStyle w:val="160"/>
          <w:rFonts w:hint="eastAsia"/>
          <w:b/>
          <w:lang w:val="en-US" w:eastAsia="zh-CN"/>
        </w:rPr>
        <w:t>, Sanechips</w:t>
      </w:r>
    </w:p>
    <w:p>
      <w:pPr>
        <w:tabs>
          <w:tab w:val="left" w:pos="1985"/>
        </w:tabs>
        <w:jc w:val="both"/>
        <w:rPr>
          <w:rStyle w:val="160"/>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12</w:t>
      </w:r>
      <w:r>
        <w:rPr>
          <w:rFonts w:ascii="Arial" w:hAnsi="Arial"/>
          <w:b/>
          <w:sz w:val="24"/>
          <w:lang w:val="pt-BR" w:eastAsia="zh-CN"/>
        </w:rPr>
        <w:t>.</w:t>
      </w:r>
      <w:r>
        <w:rPr>
          <w:rFonts w:hint="eastAsia" w:ascii="Arial" w:hAnsi="Arial"/>
          <w:b/>
          <w:sz w:val="24"/>
          <w:lang w:val="en-US" w:eastAsia="zh-CN"/>
        </w:rPr>
        <w:t>3</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spacing w:before="156" w:beforeLines="50"/>
        <w:jc w:val="both"/>
        <w:rPr>
          <w:lang w:val="en-US" w:eastAsia="zh-CN"/>
        </w:rPr>
      </w:pPr>
      <w:r>
        <w:rPr>
          <w:lang w:val="en-US" w:eastAsia="zh-CN"/>
        </w:rPr>
        <w:t xml:space="preserve">In this paper, we will analyze </w:t>
      </w:r>
      <w:r>
        <w:rPr>
          <w:rFonts w:hint="eastAsia"/>
          <w:lang w:val="en-US" w:eastAsia="zh-CN"/>
        </w:rPr>
        <w:t>the remaining issues for the support of mobile IAB, such as mobile-IAB indication, BAP, PCI collision and ANR</w:t>
      </w:r>
      <w:r>
        <w:rPr>
          <w:lang w:val="en-US" w:eastAsia="zh-CN"/>
        </w:rPr>
        <w:t>.</w:t>
      </w:r>
    </w:p>
    <w:p>
      <w:pPr>
        <w:pStyle w:val="2"/>
        <w:jc w:val="both"/>
        <w:rPr>
          <w:lang w:eastAsia="zh-CN"/>
        </w:rPr>
      </w:pPr>
      <w:r>
        <w:rPr>
          <w:rFonts w:hint="eastAsia" w:eastAsia="宋体"/>
          <w:lang w:eastAsia="zh-CN"/>
        </w:rPr>
        <w:t>Discussion</w:t>
      </w:r>
    </w:p>
    <w:p>
      <w:pPr>
        <w:pStyle w:val="3"/>
        <w:bidi w:val="0"/>
        <w:rPr>
          <w:lang w:eastAsia="zh-CN"/>
        </w:rPr>
      </w:pPr>
      <w:r>
        <w:rPr>
          <w:rFonts w:hint="eastAsia"/>
          <w:lang w:val="en-US" w:eastAsia="zh-CN"/>
        </w:rPr>
        <w:t>Mobile-IAB indication</w:t>
      </w:r>
    </w:p>
    <w:p>
      <w:pPr>
        <w:numPr>
          <w:ilvl w:val="-1"/>
          <w:numId w:val="0"/>
        </w:numPr>
        <w:ind w:left="0" w:firstLine="0"/>
        <w:jc w:val="both"/>
        <w:rPr>
          <w:rFonts w:cs="Arial"/>
          <w:b w:val="0"/>
          <w:bCs/>
          <w:szCs w:val="20"/>
        </w:rPr>
      </w:pPr>
      <w:r>
        <w:rPr>
          <w:rFonts w:hint="eastAsia"/>
          <w:lang w:val="en-US" w:eastAsia="zh-CN"/>
        </w:rPr>
        <w:t xml:space="preserve">According to previous RAN2 meetings, </w:t>
      </w:r>
      <w:r>
        <w:t xml:space="preserve">RAN2 agreed that </w:t>
      </w:r>
      <w:r>
        <w:rPr>
          <w:rFonts w:hint="eastAsia"/>
          <w:b w:val="0"/>
          <w:bCs/>
          <w:szCs w:val="20"/>
          <w:lang w:val="en-US" w:eastAsia="zh-CN"/>
        </w:rPr>
        <w:t>a</w:t>
      </w:r>
      <w:r>
        <w:rPr>
          <w:b w:val="0"/>
          <w:bCs/>
          <w:szCs w:val="20"/>
        </w:rPr>
        <w:t xml:space="preserve"> mobile IAB node may camp on</w:t>
      </w:r>
      <w:r>
        <w:rPr>
          <w:rFonts w:hint="eastAsia"/>
          <w:b w:val="0"/>
          <w:bCs/>
          <w:szCs w:val="20"/>
          <w:lang w:val="en-US" w:eastAsia="zh-CN"/>
        </w:rPr>
        <w:t xml:space="preserve"> and connect to</w:t>
      </w:r>
      <w:r>
        <w:rPr>
          <w:b w:val="0"/>
          <w:bCs/>
          <w:szCs w:val="20"/>
        </w:rPr>
        <w:t xml:space="preserve"> Rel-18 Mobile IAB capable parent cell</w:t>
      </w:r>
      <w:r>
        <w:rPr>
          <w:rFonts w:hint="eastAsia"/>
          <w:b w:val="0"/>
          <w:bCs/>
          <w:szCs w:val="20"/>
          <w:lang w:val="en-US" w:eastAsia="zh-CN"/>
        </w:rPr>
        <w:t xml:space="preserve"> or</w:t>
      </w:r>
      <w:r>
        <w:rPr>
          <w:b w:val="0"/>
          <w:bCs/>
          <w:szCs w:val="20"/>
        </w:rPr>
        <w:t xml:space="preserve"> legacy Rel-16/Rel-17 IAB capable cell</w:t>
      </w:r>
      <w:r>
        <w:rPr>
          <w:rFonts w:hint="eastAsia"/>
          <w:b w:val="0"/>
          <w:bCs/>
          <w:szCs w:val="20"/>
          <w:lang w:val="en-US" w:eastAsia="zh-CN"/>
        </w:rPr>
        <w:t xml:space="preserve">. In this sense, </w:t>
      </w:r>
      <w:r>
        <w:rPr>
          <w:rFonts w:hint="eastAsia"/>
          <w:lang w:val="en-US" w:eastAsia="zh-CN"/>
        </w:rPr>
        <w:t xml:space="preserve">mobile IAB node should be able to support both </w:t>
      </w:r>
      <w:r>
        <w:t>Rel-18 mobile IAB and Rel-16/17 IAB</w:t>
      </w:r>
      <w:r>
        <w:rPr>
          <w:rFonts w:hint="eastAsia"/>
          <w:lang w:val="en-US" w:eastAsia="zh-CN"/>
        </w:rPr>
        <w:t xml:space="preserve"> from the perspective of capability. </w:t>
      </w:r>
    </w:p>
    <w:p>
      <w:pPr>
        <w:numPr>
          <w:ilvl w:val="-1"/>
          <w:numId w:val="0"/>
        </w:numPr>
        <w:ind w:left="0" w:firstLine="0"/>
        <w:jc w:val="both"/>
        <w:rPr>
          <w:rFonts w:hint="default" w:eastAsia="宋体" w:cs="Arial"/>
          <w:b/>
          <w:bCs w:val="0"/>
          <w:szCs w:val="20"/>
          <w:lang w:val="en-US" w:eastAsia="zh-CN"/>
        </w:rPr>
      </w:pPr>
      <w:r>
        <w:rPr>
          <w:rFonts w:hint="eastAsia" w:cs="Arial"/>
          <w:b/>
          <w:bCs w:val="0"/>
          <w:szCs w:val="20"/>
          <w:lang w:val="en-US" w:eastAsia="zh-CN"/>
        </w:rPr>
        <w:t xml:space="preserve">Proposal 1: </w:t>
      </w:r>
      <w:r>
        <w:rPr>
          <w:rFonts w:hint="eastAsia"/>
          <w:b/>
          <w:lang w:val="en-US" w:eastAsia="zh-CN"/>
        </w:rPr>
        <w:t xml:space="preserve">From the perspective of capability, mobile IAB-node should support both </w:t>
      </w:r>
      <w:r>
        <w:rPr>
          <w:b/>
        </w:rPr>
        <w:t>Rel-18 mobile IAB and Rel-16/17 IAB</w:t>
      </w:r>
      <w:r>
        <w:rPr>
          <w:rFonts w:hint="eastAsia"/>
          <w:b/>
          <w:lang w:val="en-US" w:eastAsia="zh-CN"/>
        </w:rPr>
        <w:t xml:space="preserve">. </w:t>
      </w:r>
    </w:p>
    <w:p>
      <w:pPr>
        <w:numPr>
          <w:ilvl w:val="-1"/>
          <w:numId w:val="0"/>
        </w:numPr>
        <w:spacing w:after="0" w:line="259" w:lineRule="auto"/>
        <w:ind w:left="0" w:firstLine="0"/>
        <w:contextualSpacing w:val="0"/>
        <w:jc w:val="both"/>
        <w:rPr>
          <w:rFonts w:hint="eastAsia"/>
          <w:lang w:val="en-US" w:eastAsia="zh-CN"/>
        </w:rPr>
      </w:pPr>
      <w:r>
        <w:rPr>
          <w:rFonts w:hint="eastAsia"/>
          <w:lang w:val="en-US" w:eastAsia="zh-CN"/>
        </w:rPr>
        <w:t xml:space="preserve">With regard to the </w:t>
      </w:r>
      <w:r>
        <w:rPr>
          <w:b w:val="0"/>
          <w:bCs/>
          <w:szCs w:val="20"/>
        </w:rPr>
        <w:t>Rel-18 Mobile IAB capable parent cell</w:t>
      </w:r>
      <w:r>
        <w:rPr>
          <w:rFonts w:hint="eastAsia"/>
          <w:b w:val="0"/>
          <w:bCs/>
          <w:szCs w:val="20"/>
          <w:lang w:val="en-US" w:eastAsia="zh-CN"/>
        </w:rPr>
        <w:t xml:space="preserve">, it is safe to say that it can also support Rel-16/17 IAB considering that Rel-18 mobile IAB is actually a further enhancement of Rel-16/17 IAB. Correspondingly, for the donor CU which serves the </w:t>
      </w:r>
      <w:r>
        <w:rPr>
          <w:b w:val="0"/>
          <w:bCs/>
          <w:szCs w:val="20"/>
        </w:rPr>
        <w:t>Rel-18 Mobile IAB capable parent cell</w:t>
      </w:r>
      <w:r>
        <w:rPr>
          <w:rFonts w:hint="eastAsia"/>
          <w:b w:val="0"/>
          <w:bCs/>
          <w:szCs w:val="20"/>
          <w:lang w:val="en-US" w:eastAsia="zh-CN"/>
        </w:rPr>
        <w:t xml:space="preserve">, it should be able to support both </w:t>
      </w:r>
      <w:r>
        <w:t>Rel-18 mobile IAB and Rel-16/17 IAB</w:t>
      </w:r>
      <w:r>
        <w:rPr>
          <w:rFonts w:hint="eastAsia"/>
          <w:lang w:val="en-US" w:eastAsia="zh-CN"/>
        </w:rPr>
        <w:t xml:space="preserve"> capability. On the other hand, the network may also deploy Rel-16/17 IAB capable donor CUs and even non-IAB capable donor DUs. In this sense, the donor CU may be divided into three categories: 1) not support Rel-16/17/18 IAB; 2) </w:t>
      </w:r>
      <w:r>
        <w:t>Only support Rel-16/17 IAB</w:t>
      </w:r>
      <w:r>
        <w:rPr>
          <w:rFonts w:hint="eastAsia"/>
          <w:lang w:val="en-US" w:eastAsia="zh-CN"/>
        </w:rPr>
        <w:t>; 2) s</w:t>
      </w:r>
      <w:r>
        <w:t>upport both Rel-18 mobile IAB and Rel-16/17 IAB</w:t>
      </w:r>
      <w:r>
        <w:rPr>
          <w:rFonts w:hint="eastAsia"/>
          <w:lang w:val="en-US" w:eastAsia="zh-CN"/>
        </w:rPr>
        <w:t xml:space="preserve">. </w:t>
      </w:r>
    </w:p>
    <w:p>
      <w:pPr>
        <w:numPr>
          <w:ilvl w:val="-1"/>
          <w:numId w:val="0"/>
        </w:numPr>
        <w:spacing w:before="157" w:beforeLines="50" w:after="0" w:line="259" w:lineRule="auto"/>
        <w:ind w:left="0" w:firstLine="0"/>
        <w:contextualSpacing w:val="0"/>
        <w:jc w:val="both"/>
        <w:rPr>
          <w:rFonts w:hint="default"/>
          <w:b/>
          <w:bCs/>
          <w:lang w:val="en-US" w:eastAsia="zh-CN"/>
        </w:rPr>
      </w:pPr>
      <w:r>
        <w:rPr>
          <w:rFonts w:hint="eastAsia"/>
          <w:b/>
          <w:bCs/>
          <w:lang w:val="en-US" w:eastAsia="zh-CN"/>
        </w:rPr>
        <w:t xml:space="preserve">Proposal 2: For the </w:t>
      </w:r>
      <w:r>
        <w:rPr>
          <w:b/>
          <w:bCs/>
          <w:szCs w:val="20"/>
        </w:rPr>
        <w:t>Rel-18 Mobile IAB capable parent cell</w:t>
      </w:r>
      <w:r>
        <w:rPr>
          <w:rFonts w:hint="eastAsia"/>
          <w:b/>
          <w:bCs/>
          <w:szCs w:val="20"/>
          <w:lang w:val="en-US" w:eastAsia="zh-CN"/>
        </w:rPr>
        <w:t>, it should also support the access of Rel-16/17 IAB  considering that Rel-18 mobile IAB is actually a further enhancement of Rel-16/17 IAB.</w:t>
      </w:r>
    </w:p>
    <w:p>
      <w:pPr>
        <w:numPr>
          <w:ilvl w:val="-1"/>
          <w:numId w:val="0"/>
        </w:numPr>
        <w:tabs>
          <w:tab w:val="left" w:pos="1619"/>
        </w:tabs>
        <w:spacing w:before="157" w:beforeLines="50"/>
        <w:ind w:left="0" w:firstLine="0"/>
        <w:jc w:val="both"/>
        <w:rPr>
          <w:rFonts w:hint="default" w:eastAsia="宋体" w:cs="Arial"/>
          <w:b w:val="0"/>
          <w:bCs/>
          <w:szCs w:val="20"/>
          <w:lang w:val="en-US" w:eastAsia="zh-CN"/>
        </w:rPr>
      </w:pPr>
      <w:r>
        <w:rPr>
          <w:rFonts w:hint="eastAsia" w:cs="Arial"/>
          <w:b/>
          <w:bCs w:val="0"/>
          <w:szCs w:val="20"/>
          <w:lang w:val="en-US" w:eastAsia="zh-CN"/>
        </w:rPr>
        <w:t xml:space="preserve">Proposal 3: </w:t>
      </w:r>
      <w:r>
        <w:rPr>
          <w:rFonts w:hint="eastAsia"/>
          <w:b/>
          <w:lang w:val="en-US" w:eastAsia="zh-CN"/>
        </w:rPr>
        <w:t>From the perspective of capability, donor CU can be divided into three categories: 1) not support Rel-16/17/18 IAB; 2) o</w:t>
      </w:r>
      <w:r>
        <w:rPr>
          <w:b/>
        </w:rPr>
        <w:t>nly support Rel-16/17 IAB</w:t>
      </w:r>
      <w:r>
        <w:rPr>
          <w:rFonts w:hint="eastAsia"/>
          <w:b/>
          <w:lang w:val="en-US" w:eastAsia="zh-CN"/>
        </w:rPr>
        <w:t>; 2) s</w:t>
      </w:r>
      <w:r>
        <w:rPr>
          <w:b/>
        </w:rPr>
        <w:t>upport both Rel-18 mobile IAB and Rel-16/17 IAB</w:t>
      </w:r>
      <w:r>
        <w:rPr>
          <w:rFonts w:hint="eastAsia"/>
          <w:b/>
          <w:lang w:val="en-US" w:eastAsia="zh-CN"/>
        </w:rPr>
        <w:t xml:space="preserve">. </w:t>
      </w:r>
    </w:p>
    <w:p>
      <w:pPr>
        <w:jc w:val="both"/>
        <w:rPr>
          <w:rFonts w:hint="default" w:eastAsia="宋体"/>
          <w:b w:val="0"/>
          <w:bCs/>
          <w:szCs w:val="20"/>
          <w:lang w:val="en-US" w:eastAsia="zh-CN"/>
        </w:rPr>
      </w:pPr>
      <w:r>
        <w:rPr>
          <w:rFonts w:hint="eastAsia"/>
          <w:lang w:val="en-US" w:eastAsia="zh-CN"/>
        </w:rPr>
        <w:t xml:space="preserve">On the other hand, for Rel-16/17 IAB capable parent cell, it may broadcast the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indication. Here the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indication can be used for the indication of IAB functionality support. In addition, this indication is also used for the access control purpose. For example, for a Rel-16/17 IAB capable parent cell, it may not broadcast the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indication so as to prohibit the access of IAB nodes. When it comes to Rel-18 mobile IAB capable parent cell, it has been agreed that it</w:t>
      </w:r>
      <w:r>
        <w:rPr>
          <w:rFonts w:hint="eastAsia"/>
          <w:b w:val="0"/>
          <w:bCs/>
          <w:szCs w:val="20"/>
          <w:lang w:val="en-US" w:eastAsia="zh-CN"/>
        </w:rPr>
        <w:t xml:space="preserve"> may broadcast the </w:t>
      </w:r>
      <w:r>
        <w:rPr>
          <w:b w:val="0"/>
          <w:bCs/>
          <w:szCs w:val="20"/>
        </w:rPr>
        <w:t>"mobile-IAB</w:t>
      </w:r>
      <w:r>
        <w:rPr>
          <w:rFonts w:hint="eastAsia"/>
          <w:b w:val="0"/>
          <w:bCs/>
          <w:szCs w:val="20"/>
          <w:lang w:val="en-US" w:eastAsia="zh-CN"/>
        </w:rPr>
        <w:t xml:space="preserve"> supported</w:t>
      </w:r>
      <w:r>
        <w:rPr>
          <w:b w:val="0"/>
          <w:bCs/>
          <w:szCs w:val="20"/>
        </w:rPr>
        <w:t>" indication</w:t>
      </w:r>
      <w:r>
        <w:rPr>
          <w:rFonts w:hint="eastAsia"/>
          <w:b w:val="0"/>
          <w:bCs/>
          <w:szCs w:val="20"/>
          <w:lang w:val="en-US" w:eastAsia="zh-CN"/>
        </w:rPr>
        <w:t xml:space="preserve">. Similar to the </w:t>
      </w:r>
      <w:r>
        <w:rPr>
          <w:rFonts w:hint="default"/>
          <w:b w:val="0"/>
          <w:bCs/>
          <w:szCs w:val="20"/>
          <w:lang w:val="en-US" w:eastAsia="zh-CN"/>
        </w:rPr>
        <w:t>“</w:t>
      </w:r>
      <w:r>
        <w:rPr>
          <w:rFonts w:hint="eastAsia"/>
          <w:b w:val="0"/>
          <w:bCs/>
          <w:szCs w:val="20"/>
          <w:lang w:val="en-US" w:eastAsia="zh-CN"/>
        </w:rPr>
        <w:t>IAB supported</w:t>
      </w:r>
      <w:r>
        <w:rPr>
          <w:rFonts w:hint="default"/>
          <w:b w:val="0"/>
          <w:bCs/>
          <w:szCs w:val="20"/>
          <w:lang w:val="en-US" w:eastAsia="zh-CN"/>
        </w:rPr>
        <w:t>”</w:t>
      </w:r>
      <w:r>
        <w:rPr>
          <w:rFonts w:hint="eastAsia"/>
          <w:b w:val="0"/>
          <w:bCs/>
          <w:szCs w:val="20"/>
          <w:lang w:val="en-US" w:eastAsia="zh-CN"/>
        </w:rPr>
        <w:t xml:space="preserve"> indication, it is suggested that this </w:t>
      </w:r>
      <w:r>
        <w:rPr>
          <w:b w:val="0"/>
          <w:bCs/>
          <w:szCs w:val="20"/>
        </w:rPr>
        <w:t>"mobile-IAB</w:t>
      </w:r>
      <w:r>
        <w:rPr>
          <w:rFonts w:hint="eastAsia"/>
          <w:b w:val="0"/>
          <w:bCs/>
          <w:szCs w:val="20"/>
          <w:lang w:val="en-US" w:eastAsia="zh-CN"/>
        </w:rPr>
        <w:t xml:space="preserve"> supported</w:t>
      </w:r>
      <w:r>
        <w:rPr>
          <w:b w:val="0"/>
          <w:bCs/>
          <w:szCs w:val="20"/>
        </w:rPr>
        <w:t xml:space="preserve">" </w:t>
      </w:r>
      <w:r>
        <w:rPr>
          <w:rFonts w:hint="eastAsia"/>
          <w:b w:val="0"/>
          <w:bCs/>
          <w:szCs w:val="20"/>
          <w:lang w:val="en-US" w:eastAsia="zh-CN"/>
        </w:rPr>
        <w:t xml:space="preserve">indication can be used for the mobile IAB functionality support indication as well as for the access control purpose. Correspondingly, for the </w:t>
      </w:r>
      <w:r>
        <w:rPr>
          <w:b w:val="0"/>
          <w:bCs/>
          <w:szCs w:val="20"/>
        </w:rPr>
        <w:t>Rel-18 Mobile IAB capable parent cell</w:t>
      </w:r>
      <w:r>
        <w:rPr>
          <w:rFonts w:hint="eastAsia"/>
          <w:b w:val="0"/>
          <w:bCs/>
          <w:szCs w:val="20"/>
          <w:lang w:val="en-US" w:eastAsia="zh-CN"/>
        </w:rPr>
        <w:t xml:space="preserve">, it may independently control the presence of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and </w:t>
      </w:r>
      <w:r>
        <w:rPr>
          <w:b w:val="0"/>
          <w:bCs/>
          <w:szCs w:val="20"/>
        </w:rPr>
        <w:t>"mobile-IAB</w:t>
      </w:r>
      <w:r>
        <w:rPr>
          <w:rFonts w:hint="eastAsia"/>
          <w:b w:val="0"/>
          <w:bCs/>
          <w:szCs w:val="20"/>
          <w:lang w:val="en-US" w:eastAsia="zh-CN"/>
        </w:rPr>
        <w:t xml:space="preserve"> supported</w:t>
      </w:r>
      <w:r>
        <w:rPr>
          <w:b w:val="0"/>
          <w:bCs/>
          <w:szCs w:val="20"/>
        </w:rPr>
        <w:t>" indication</w:t>
      </w:r>
      <w:r>
        <w:rPr>
          <w:rFonts w:hint="eastAsia"/>
          <w:b w:val="0"/>
          <w:bCs/>
          <w:szCs w:val="20"/>
          <w:lang w:val="en-US" w:eastAsia="zh-CN"/>
        </w:rPr>
        <w:t>. The potential combinations of indications broadcast by Rel-18 mobile IAB capable parent cell and their implications to accessing node are listed as follows: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49"/>
        <w:gridCol w:w="3104"/>
        <w:gridCol w:w="28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8" w:hRule="atLeast"/>
        </w:trPr>
        <w:tc>
          <w:tcPr>
            <w:tcW w:w="3949" w:type="dxa"/>
            <mc:AlternateContent>
              <mc:Choice Requires="wpsCustomData">
                <wpsCustomData:diagonals>
                  <wpsCustomData:diagonal from="10000" to="30000">
                    <wpsCustomData:border w:val="single" w:color="auto" w:sz="4" w:space="0"/>
                  </wpsCustomData:diagonal>
                </wpsCustomData:diagonals>
              </mc:Choice>
            </mc:AlternateContent>
          </w:tcPr>
          <w:p>
            <w:pPr>
              <w:snapToGrid w:val="0"/>
              <w:spacing w:line="240" w:lineRule="auto"/>
              <w:jc w:val="both"/>
              <w:rPr>
                <w:rFonts w:hint="eastAsia"/>
                <w:b w:val="0"/>
                <w:bCs/>
                <w:sz w:val="18"/>
                <w:szCs w:val="18"/>
                <w:vertAlign w:val="baseline"/>
                <w:lang w:val="en-US" w:eastAsia="zh-CN"/>
              </w:rPr>
            </w:pPr>
            <w:r>
              <w:rPr>
                <w:rFonts w:hint="eastAsia"/>
                <w:b w:val="0"/>
                <w:bCs/>
                <w:sz w:val="18"/>
                <w:szCs w:val="18"/>
                <w:vertAlign w:val="baseline"/>
                <w:lang w:val="en-US" w:eastAsia="zh-CN"/>
              </w:rPr>
              <w:t xml:space="preserve">Presence of </w:t>
            </w:r>
            <w:r>
              <w:rPr>
                <w:rFonts w:hint="default"/>
                <w:b w:val="0"/>
                <w:bCs/>
                <w:sz w:val="18"/>
                <w:szCs w:val="18"/>
                <w:vertAlign w:val="baseline"/>
                <w:lang w:val="en-US" w:eastAsia="zh-CN"/>
              </w:rPr>
              <w:t>“</w:t>
            </w:r>
            <w:r>
              <w:rPr>
                <w:rFonts w:hint="eastAsia"/>
                <w:b w:val="0"/>
                <w:bCs/>
                <w:sz w:val="18"/>
                <w:szCs w:val="18"/>
                <w:vertAlign w:val="baseline"/>
                <w:lang w:val="en-US" w:eastAsia="zh-CN"/>
              </w:rPr>
              <w:t>Mobile IAB supported</w:t>
            </w:r>
            <w:r>
              <w:rPr>
                <w:rFonts w:hint="default"/>
                <w:b w:val="0"/>
                <w:bCs/>
                <w:sz w:val="18"/>
                <w:szCs w:val="18"/>
                <w:vertAlign w:val="baseline"/>
                <w:lang w:val="en-US" w:eastAsia="zh-CN"/>
              </w:rPr>
              <w:t>”</w:t>
            </w:r>
            <w:r>
              <w:rPr>
                <w:rFonts w:hint="eastAsia"/>
                <w:b w:val="0"/>
                <w:bCs/>
                <w:sz w:val="18"/>
                <w:szCs w:val="18"/>
                <w:vertAlign w:val="baseline"/>
                <w:lang w:val="en-US" w:eastAsia="zh-CN"/>
              </w:rPr>
              <w:t xml:space="preserve"> </w:t>
            </w:r>
          </w:p>
          <w:p>
            <w:pPr>
              <w:snapToGrid w:val="0"/>
              <w:spacing w:line="240" w:lineRule="auto"/>
              <w:jc w:val="both"/>
              <mc:AlternateContent>
                <mc:Choice Requires="wpsCustomData">
                  <wpsCustomData:diagonalParaType/>
                </mc:Choice>
              </mc:AlternateContent>
              <w:rPr>
                <w:rFonts w:hint="default"/>
                <w:b w:val="0"/>
                <w:bCs/>
                <w:sz w:val="18"/>
                <w:szCs w:val="18"/>
                <w:vertAlign w:val="baseline"/>
                <w:lang w:val="en-US" w:eastAsia="zh-CN"/>
              </w:rPr>
            </w:pPr>
            <w:r>
              <w:rPr>
                <w:rFonts w:hint="eastAsia"/>
                <w:b w:val="0"/>
                <w:bCs/>
                <w:sz w:val="18"/>
                <w:szCs w:val="18"/>
                <w:vertAlign w:val="baseline"/>
                <w:lang w:val="en-US" w:eastAsia="zh-CN"/>
              </w:rPr>
              <w:t>indication</w:t>
            </w:r>
          </w:p>
          <w:p>
            <w:pPr>
              <w:jc w:val="both"/>
              <w:rPr>
                <w:rFonts w:hint="default"/>
                <w:b w:val="0"/>
                <w:bCs/>
                <w:sz w:val="18"/>
                <w:szCs w:val="18"/>
                <w:vertAlign w:val="baseline"/>
                <w:lang w:val="en-US" w:eastAsia="zh-CN"/>
              </w:rPr>
            </w:pPr>
            <w:r>
              <w:rPr>
                <w:rFonts w:hint="eastAsia"/>
                <w:b w:val="0"/>
                <w:bCs/>
                <w:sz w:val="18"/>
                <w:szCs w:val="18"/>
                <w:vertAlign w:val="baseline"/>
                <w:lang w:val="en-US" w:eastAsia="zh-CN"/>
              </w:rPr>
              <w:t xml:space="preserve">Presence of </w:t>
            </w:r>
            <w:r>
              <w:rPr>
                <w:rFonts w:hint="default"/>
                <w:b w:val="0"/>
                <w:bCs/>
                <w:sz w:val="18"/>
                <w:szCs w:val="18"/>
                <w:vertAlign w:val="baseline"/>
                <w:lang w:val="en-US" w:eastAsia="zh-CN"/>
              </w:rPr>
              <w:t>“</w:t>
            </w:r>
            <w:r>
              <w:rPr>
                <w:rFonts w:hint="eastAsia"/>
                <w:b w:val="0"/>
                <w:bCs/>
                <w:sz w:val="18"/>
                <w:szCs w:val="18"/>
                <w:vertAlign w:val="baseline"/>
                <w:lang w:val="en-US" w:eastAsia="zh-CN"/>
              </w:rPr>
              <w:t>IAB supported</w:t>
            </w:r>
            <w:r>
              <w:rPr>
                <w:rFonts w:hint="default"/>
                <w:b w:val="0"/>
                <w:bCs/>
                <w:sz w:val="18"/>
                <w:szCs w:val="18"/>
                <w:vertAlign w:val="baseline"/>
                <w:lang w:val="en-US" w:eastAsia="zh-CN"/>
              </w:rPr>
              <w:t>”</w:t>
            </w:r>
            <w:r>
              <w:rPr>
                <w:rFonts w:hint="eastAsia"/>
                <w:b w:val="0"/>
                <w:bCs/>
                <w:sz w:val="18"/>
                <w:szCs w:val="18"/>
                <w:vertAlign w:val="baseline"/>
                <w:lang w:val="en-US" w:eastAsia="zh-CN"/>
              </w:rPr>
              <w:t xml:space="preserve"> </w:t>
            </w:r>
          </w:p>
        </w:tc>
        <w:tc>
          <w:tcPr>
            <w:tcW w:w="3104" w:type="dxa"/>
          </w:tcPr>
          <w:p>
            <w:pPr>
              <w:jc w:val="both"/>
              <w:rPr>
                <w:rFonts w:hint="default"/>
                <w:b w:val="0"/>
                <w:bCs/>
                <w:szCs w:val="20"/>
                <w:vertAlign w:val="baseline"/>
                <w:lang w:val="en-US" w:eastAsia="zh-CN"/>
              </w:rPr>
            </w:pPr>
            <w:r>
              <w:rPr>
                <w:rFonts w:hint="eastAsia"/>
                <w:b w:val="0"/>
                <w:bCs/>
                <w:szCs w:val="20"/>
                <w:vertAlign w:val="baseline"/>
                <w:lang w:val="en-US" w:eastAsia="zh-CN"/>
              </w:rPr>
              <w:t>Yes</w:t>
            </w:r>
          </w:p>
        </w:tc>
        <w:tc>
          <w:tcPr>
            <w:tcW w:w="2804" w:type="dxa"/>
          </w:tcPr>
          <w:p>
            <w:pPr>
              <w:jc w:val="both"/>
              <w:rPr>
                <w:rFonts w:hint="default"/>
                <w:b w:val="0"/>
                <w:bCs/>
                <w:szCs w:val="20"/>
                <w:vertAlign w:val="baseline"/>
                <w:lang w:val="en-US" w:eastAsia="zh-CN"/>
              </w:rPr>
            </w:pPr>
            <w:r>
              <w:rPr>
                <w:rFonts w:hint="eastAsia"/>
                <w:b w:val="0"/>
                <w:bCs/>
                <w:szCs w:val="20"/>
                <w:vertAlign w:val="baseline"/>
                <w:lang w:val="en-US"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9" w:type="dxa"/>
          </w:tcPr>
          <w:p>
            <w:pPr>
              <w:jc w:val="both"/>
              <w:rPr>
                <w:rFonts w:hint="default"/>
                <w:b w:val="0"/>
                <w:bCs/>
                <w:szCs w:val="20"/>
                <w:vertAlign w:val="baseline"/>
                <w:lang w:val="en-US" w:eastAsia="zh-CN"/>
              </w:rPr>
            </w:pPr>
            <w:r>
              <w:rPr>
                <w:rFonts w:hint="eastAsia"/>
                <w:b w:val="0"/>
                <w:bCs/>
                <w:szCs w:val="20"/>
                <w:vertAlign w:val="baseline"/>
                <w:lang w:val="en-US" w:eastAsia="zh-CN"/>
              </w:rPr>
              <w:t>Yes</w:t>
            </w:r>
          </w:p>
        </w:tc>
        <w:tc>
          <w:tcPr>
            <w:tcW w:w="3104" w:type="dxa"/>
          </w:tcPr>
          <w:p>
            <w:pPr>
              <w:jc w:val="both"/>
              <w:rPr>
                <w:rFonts w:hint="default"/>
                <w:b w:val="0"/>
                <w:bCs/>
                <w:szCs w:val="20"/>
                <w:vertAlign w:val="baseline"/>
                <w:lang w:val="en-US" w:eastAsia="zh-CN"/>
              </w:rPr>
            </w:pPr>
            <w:r>
              <w:rPr>
                <w:rFonts w:hint="eastAsia"/>
                <w:b w:val="0"/>
                <w:bCs/>
                <w:szCs w:val="20"/>
                <w:vertAlign w:val="baseline"/>
                <w:lang w:val="en-US" w:eastAsia="zh-CN"/>
              </w:rPr>
              <w:t xml:space="preserve">Both Rel-18 mobile IAB node and Rel-16/17 IAB node can camp and connect to this parent cell.   </w:t>
            </w:r>
          </w:p>
        </w:tc>
        <w:tc>
          <w:tcPr>
            <w:tcW w:w="2804" w:type="dxa"/>
          </w:tcPr>
          <w:p>
            <w:pPr>
              <w:jc w:val="both"/>
              <w:rPr>
                <w:rFonts w:hint="default"/>
                <w:b w:val="0"/>
                <w:bCs/>
                <w:szCs w:val="20"/>
                <w:vertAlign w:val="baseline"/>
                <w:lang w:val="en-US" w:eastAsia="zh-CN"/>
              </w:rPr>
            </w:pPr>
            <w:r>
              <w:rPr>
                <w:rFonts w:hint="eastAsia"/>
                <w:b w:val="0"/>
                <w:bCs/>
                <w:szCs w:val="20"/>
                <w:vertAlign w:val="baseline"/>
                <w:lang w:val="en-US" w:eastAsia="zh-CN"/>
              </w:rPr>
              <w:t xml:space="preserve">Only Rel-18 mobile IAB node can camp and connect to this parent cell.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9" w:type="dxa"/>
          </w:tcPr>
          <w:p>
            <w:pPr>
              <w:jc w:val="both"/>
              <w:rPr>
                <w:rFonts w:hint="default"/>
                <w:b w:val="0"/>
                <w:bCs/>
                <w:szCs w:val="20"/>
                <w:vertAlign w:val="baseline"/>
                <w:lang w:val="en-US" w:eastAsia="zh-CN"/>
              </w:rPr>
            </w:pPr>
            <w:r>
              <w:rPr>
                <w:rFonts w:hint="eastAsia"/>
                <w:b w:val="0"/>
                <w:bCs/>
                <w:szCs w:val="20"/>
                <w:vertAlign w:val="baseline"/>
                <w:lang w:val="en-US" w:eastAsia="zh-CN"/>
              </w:rPr>
              <w:t xml:space="preserve">No </w:t>
            </w:r>
          </w:p>
        </w:tc>
        <w:tc>
          <w:tcPr>
            <w:tcW w:w="3104" w:type="dxa"/>
          </w:tcPr>
          <w:p>
            <w:pPr>
              <w:jc w:val="both"/>
              <w:rPr>
                <w:rFonts w:hint="eastAsia"/>
                <w:b w:val="0"/>
                <w:bCs/>
                <w:szCs w:val="20"/>
                <w:vertAlign w:val="baseline"/>
                <w:lang w:val="en-US" w:eastAsia="zh-CN"/>
              </w:rPr>
            </w:pPr>
            <w:r>
              <w:rPr>
                <w:rFonts w:hint="eastAsia"/>
                <w:b w:val="0"/>
                <w:bCs/>
                <w:szCs w:val="20"/>
                <w:vertAlign w:val="baseline"/>
                <w:lang w:val="en-US" w:eastAsia="zh-CN"/>
              </w:rPr>
              <w:t xml:space="preserve">Rel-16/17 IAB node can camp and connect to this parent cell. </w:t>
            </w:r>
          </w:p>
          <w:p>
            <w:pPr>
              <w:jc w:val="both"/>
              <w:rPr>
                <w:rFonts w:hint="default"/>
                <w:b w:val="0"/>
                <w:bCs/>
                <w:szCs w:val="20"/>
                <w:vertAlign w:val="baseline"/>
                <w:lang w:val="en-US" w:eastAsia="zh-CN"/>
              </w:rPr>
            </w:pPr>
            <w:r>
              <w:rPr>
                <w:rFonts w:hint="eastAsia"/>
                <w:b w:val="0"/>
                <w:bCs/>
                <w:szCs w:val="20"/>
                <w:vertAlign w:val="baseline"/>
                <w:lang w:val="en-US" w:eastAsia="zh-CN"/>
              </w:rPr>
              <w:t>For Rel-18 mobile IAB node acting as Rel-16/17 IAB, it may camp and connect to this parent cell  node.</w:t>
            </w:r>
          </w:p>
        </w:tc>
        <w:tc>
          <w:tcPr>
            <w:tcW w:w="2804" w:type="dxa"/>
          </w:tcPr>
          <w:p>
            <w:pPr>
              <w:jc w:val="both"/>
              <w:rPr>
                <w:rFonts w:hint="default"/>
                <w:b w:val="0"/>
                <w:bCs/>
                <w:szCs w:val="20"/>
                <w:vertAlign w:val="baseline"/>
                <w:lang w:val="en-US" w:eastAsia="zh-CN"/>
              </w:rPr>
            </w:pPr>
            <w:r>
              <w:rPr>
                <w:rFonts w:hint="eastAsia"/>
                <w:b w:val="0"/>
                <w:bCs/>
                <w:szCs w:val="20"/>
                <w:vertAlign w:val="baseline"/>
                <w:lang w:val="en-US" w:eastAsia="zh-CN"/>
              </w:rPr>
              <w:t>Neither Rel-18 mobile IAB node nor Rel-16/17 IAB node can camp and connect to this parent cell.</w:t>
            </w:r>
          </w:p>
        </w:tc>
      </w:tr>
    </w:tbl>
    <w:p>
      <w:pPr>
        <w:spacing w:before="157" w:beforeLines="50"/>
        <w:jc w:val="both"/>
        <w:rPr>
          <w:rFonts w:hint="default"/>
          <w:b w:val="0"/>
          <w:bCs/>
          <w:szCs w:val="20"/>
          <w:vertAlign w:val="baseline"/>
          <w:lang w:val="en-US" w:eastAsia="zh-CN"/>
        </w:rPr>
      </w:pPr>
      <w:r>
        <w:rPr>
          <w:rFonts w:hint="eastAsia"/>
          <w:b w:val="0"/>
          <w:bCs/>
          <w:szCs w:val="20"/>
          <w:lang w:val="en-US" w:eastAsia="zh-CN"/>
        </w:rPr>
        <w:t xml:space="preserve">As we can see, if both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and </w:t>
      </w:r>
      <w:r>
        <w:rPr>
          <w:b w:val="0"/>
          <w:bCs/>
          <w:szCs w:val="20"/>
        </w:rPr>
        <w:t>"mobile-IAB</w:t>
      </w:r>
      <w:r>
        <w:rPr>
          <w:rFonts w:hint="eastAsia"/>
          <w:b w:val="0"/>
          <w:bCs/>
          <w:szCs w:val="20"/>
          <w:lang w:val="en-US" w:eastAsia="zh-CN"/>
        </w:rPr>
        <w:t xml:space="preserve"> supported</w:t>
      </w:r>
      <w:r>
        <w:rPr>
          <w:b w:val="0"/>
          <w:bCs/>
          <w:szCs w:val="20"/>
        </w:rPr>
        <w:t>" indication</w:t>
      </w:r>
      <w:r>
        <w:rPr>
          <w:rFonts w:hint="eastAsia"/>
          <w:b w:val="0"/>
          <w:bCs/>
          <w:szCs w:val="20"/>
          <w:lang w:val="en-US" w:eastAsia="zh-CN"/>
        </w:rPr>
        <w:t xml:space="preserve">s are present, it means that </w:t>
      </w:r>
      <w:r>
        <w:rPr>
          <w:rFonts w:hint="eastAsia"/>
          <w:b w:val="0"/>
          <w:bCs/>
          <w:szCs w:val="20"/>
          <w:vertAlign w:val="baseline"/>
          <w:lang w:val="en-US" w:eastAsia="zh-CN"/>
        </w:rPr>
        <w:t xml:space="preserve">both Rel-18 mobile IAB node and Rel-16/17 IAB node can camp and connect to this parent cell. If only </w:t>
      </w:r>
      <w:r>
        <w:rPr>
          <w:rFonts w:hint="default"/>
          <w:b w:val="0"/>
          <w:bCs/>
          <w:szCs w:val="20"/>
          <w:vertAlign w:val="baseline"/>
          <w:lang w:val="en-US" w:eastAsia="zh-CN"/>
        </w:rPr>
        <w:t>“</w:t>
      </w:r>
      <w:r>
        <w:rPr>
          <w:rFonts w:hint="eastAsia"/>
          <w:b w:val="0"/>
          <w:bCs/>
          <w:szCs w:val="20"/>
          <w:vertAlign w:val="baseline"/>
          <w:lang w:val="en-US" w:eastAsia="zh-CN"/>
        </w:rPr>
        <w:t>mobile-IAB supported</w:t>
      </w:r>
      <w:r>
        <w:rPr>
          <w:rFonts w:hint="default"/>
          <w:b w:val="0"/>
          <w:bCs/>
          <w:szCs w:val="20"/>
          <w:vertAlign w:val="baseline"/>
          <w:lang w:val="en-US" w:eastAsia="zh-CN"/>
        </w:rPr>
        <w:t>”</w:t>
      </w:r>
      <w:r>
        <w:rPr>
          <w:rFonts w:hint="eastAsia"/>
          <w:b w:val="0"/>
          <w:bCs/>
          <w:szCs w:val="20"/>
          <w:vertAlign w:val="baseline"/>
          <w:lang w:val="en-US" w:eastAsia="zh-CN"/>
        </w:rPr>
        <w:t xml:space="preserve"> indication is present, Rel-18 mobile IAB node can camp and connect to this parent cell. However, if only </w:t>
      </w:r>
      <w:r>
        <w:rPr>
          <w:rFonts w:hint="default"/>
          <w:b w:val="0"/>
          <w:bCs/>
          <w:szCs w:val="20"/>
          <w:vertAlign w:val="baseline"/>
          <w:lang w:val="en-US" w:eastAsia="zh-CN"/>
        </w:rPr>
        <w:t>“</w:t>
      </w:r>
      <w:r>
        <w:rPr>
          <w:rFonts w:hint="eastAsia"/>
          <w:b w:val="0"/>
          <w:bCs/>
          <w:szCs w:val="20"/>
          <w:vertAlign w:val="baseline"/>
          <w:lang w:val="en-US" w:eastAsia="zh-CN"/>
        </w:rPr>
        <w:t>IAB supported</w:t>
      </w:r>
      <w:r>
        <w:rPr>
          <w:rFonts w:hint="default"/>
          <w:b w:val="0"/>
          <w:bCs/>
          <w:szCs w:val="20"/>
          <w:vertAlign w:val="baseline"/>
          <w:lang w:val="en-US" w:eastAsia="zh-CN"/>
        </w:rPr>
        <w:t>”</w:t>
      </w:r>
      <w:r>
        <w:rPr>
          <w:rFonts w:hint="eastAsia"/>
          <w:b w:val="0"/>
          <w:bCs/>
          <w:szCs w:val="20"/>
          <w:vertAlign w:val="baseline"/>
          <w:lang w:val="en-US" w:eastAsia="zh-CN"/>
        </w:rPr>
        <w:t xml:space="preserve"> indication is present, Rel-16/17 IAB node can definitely camp and connect to this parent cell. For the Rel-18 mobile IAB node, as we agreed before, </w:t>
      </w:r>
      <w:r>
        <w:rPr>
          <w:rFonts w:hint="eastAsia"/>
          <w:b w:val="0"/>
          <w:bCs/>
          <w:szCs w:val="20"/>
          <w:lang w:val="en-US" w:eastAsia="zh-CN"/>
        </w:rPr>
        <w:t>a</w:t>
      </w:r>
      <w:r>
        <w:t xml:space="preserve"> mobile IAB-node can access a parent cell that broadcasts “IAB supported”, but not “mobile IAB supported”.</w:t>
      </w:r>
      <w:r>
        <w:rPr>
          <w:rFonts w:hint="eastAsia"/>
          <w:lang w:val="en-US" w:eastAsia="zh-CN"/>
        </w:rPr>
        <w:t xml:space="preserve"> Here the parent cell only broadcast </w:t>
      </w:r>
      <w:r>
        <w:rPr>
          <w:rFonts w:hint="default"/>
          <w:lang w:val="en-US" w:eastAsia="zh-CN"/>
        </w:rPr>
        <w:t>“</w:t>
      </w:r>
      <w:r>
        <w:rPr>
          <w:rFonts w:hint="eastAsia"/>
          <w:lang w:val="en-US" w:eastAsia="zh-CN"/>
        </w:rPr>
        <w:t>IAB supported</w:t>
      </w:r>
      <w:r>
        <w:rPr>
          <w:rFonts w:hint="default"/>
          <w:lang w:val="en-US" w:eastAsia="zh-CN"/>
        </w:rPr>
        <w:t>”</w:t>
      </w:r>
      <w:r>
        <w:rPr>
          <w:rFonts w:hint="eastAsia"/>
          <w:lang w:val="en-US" w:eastAsia="zh-CN"/>
        </w:rPr>
        <w:t xml:space="preserve"> may include two cases. One is that it is not Rel-18 mobile IAB capable. The other one is that it is Rel-18 mobile IAB capable but it does not allow the access of Rel-18 mobile IAB. For both cases, </w:t>
      </w:r>
      <w:r>
        <w:rPr>
          <w:rFonts w:hint="eastAsia"/>
          <w:b w:val="0"/>
          <w:bCs/>
          <w:szCs w:val="20"/>
          <w:vertAlign w:val="baseline"/>
          <w:lang w:val="en-US" w:eastAsia="zh-CN"/>
        </w:rPr>
        <w:t xml:space="preserve">the Rel-18 mobile IAB node can only act as Rel-16/17 IAB to camp and connect to this parent cell. </w:t>
      </w:r>
    </w:p>
    <w:p>
      <w:pPr>
        <w:spacing w:before="157" w:beforeLines="50"/>
        <w:jc w:val="both"/>
        <w:rPr>
          <w:rFonts w:hint="default"/>
          <w:b/>
          <w:bCs w:val="0"/>
          <w:szCs w:val="20"/>
          <w:vertAlign w:val="baseline"/>
          <w:lang w:val="en-US" w:eastAsia="zh-CN"/>
        </w:rPr>
      </w:pPr>
      <w:r>
        <w:rPr>
          <w:rFonts w:hint="eastAsia"/>
          <w:b/>
          <w:bCs w:val="0"/>
          <w:szCs w:val="20"/>
          <w:vertAlign w:val="baseline"/>
          <w:lang w:val="en-US" w:eastAsia="zh-CN"/>
        </w:rPr>
        <w:t xml:space="preserve">Proposal 4: The </w:t>
      </w:r>
      <w:r>
        <w:rPr>
          <w:b/>
          <w:bCs w:val="0"/>
          <w:szCs w:val="20"/>
        </w:rPr>
        <w:t>"mobile-IAB</w:t>
      </w:r>
      <w:r>
        <w:rPr>
          <w:rFonts w:hint="eastAsia"/>
          <w:b/>
          <w:bCs w:val="0"/>
          <w:szCs w:val="20"/>
          <w:lang w:val="en-US" w:eastAsia="zh-CN"/>
        </w:rPr>
        <w:t xml:space="preserve"> supported</w:t>
      </w:r>
      <w:r>
        <w:rPr>
          <w:b/>
          <w:bCs w:val="0"/>
          <w:szCs w:val="20"/>
        </w:rPr>
        <w:t xml:space="preserve">" </w:t>
      </w:r>
      <w:r>
        <w:rPr>
          <w:rFonts w:hint="eastAsia"/>
          <w:b/>
          <w:bCs w:val="0"/>
          <w:szCs w:val="20"/>
          <w:lang w:val="en-US" w:eastAsia="zh-CN"/>
        </w:rPr>
        <w:t xml:space="preserve">indication broadcast by the </w:t>
      </w:r>
      <w:r>
        <w:rPr>
          <w:b/>
          <w:bCs w:val="0"/>
          <w:szCs w:val="20"/>
        </w:rPr>
        <w:t xml:space="preserve">Rel-18 </w:t>
      </w:r>
      <w:r>
        <w:rPr>
          <w:rFonts w:hint="eastAsia"/>
          <w:b/>
          <w:bCs w:val="0"/>
          <w:szCs w:val="20"/>
          <w:lang w:val="en-US" w:eastAsia="zh-CN"/>
        </w:rPr>
        <w:t>m</w:t>
      </w:r>
      <w:r>
        <w:rPr>
          <w:b/>
          <w:bCs w:val="0"/>
          <w:szCs w:val="20"/>
        </w:rPr>
        <w:t>obile IAB capable parent cell</w:t>
      </w:r>
      <w:r>
        <w:rPr>
          <w:rFonts w:hint="eastAsia"/>
          <w:b/>
          <w:bCs w:val="0"/>
          <w:szCs w:val="20"/>
          <w:lang w:val="en-US" w:eastAsia="zh-CN"/>
        </w:rPr>
        <w:t xml:space="preserve"> can be used for the mobile IAB functionality support indication as well as for the access control purpose.</w:t>
      </w:r>
    </w:p>
    <w:p>
      <w:pPr>
        <w:spacing w:before="157" w:beforeLines="50"/>
        <w:jc w:val="both"/>
        <w:rPr>
          <w:rFonts w:hint="eastAsia"/>
          <w:b/>
          <w:bCs w:val="0"/>
          <w:szCs w:val="20"/>
          <w:lang w:val="en-US" w:eastAsia="zh-CN"/>
        </w:rPr>
      </w:pPr>
      <w:r>
        <w:rPr>
          <w:rFonts w:hint="eastAsia"/>
          <w:b/>
          <w:bCs w:val="0"/>
          <w:szCs w:val="20"/>
          <w:lang w:val="en-US" w:eastAsia="zh-CN"/>
        </w:rPr>
        <w:t xml:space="preserve">Proposal 5: For the </w:t>
      </w:r>
      <w:r>
        <w:rPr>
          <w:b/>
          <w:bCs w:val="0"/>
          <w:szCs w:val="20"/>
        </w:rPr>
        <w:t>Rel-18 Mobile IAB capable parent cell</w:t>
      </w:r>
      <w:r>
        <w:rPr>
          <w:rFonts w:hint="eastAsia"/>
          <w:b/>
          <w:bCs w:val="0"/>
          <w:szCs w:val="20"/>
          <w:lang w:val="en-US" w:eastAsia="zh-CN"/>
        </w:rPr>
        <w:t xml:space="preserve">, it controls the presence of </w:t>
      </w:r>
      <w:r>
        <w:rPr>
          <w:rFonts w:hint="default"/>
          <w:b/>
          <w:bCs w:val="0"/>
          <w:lang w:val="en-US" w:eastAsia="zh-CN"/>
        </w:rPr>
        <w:t>“</w:t>
      </w:r>
      <w:r>
        <w:rPr>
          <w:rFonts w:hint="eastAsia"/>
          <w:b/>
          <w:bCs w:val="0"/>
          <w:lang w:val="en-US" w:eastAsia="zh-CN"/>
        </w:rPr>
        <w:t>IAB supported</w:t>
      </w:r>
      <w:r>
        <w:rPr>
          <w:rFonts w:hint="default"/>
          <w:b/>
          <w:bCs w:val="0"/>
          <w:lang w:val="en-US" w:eastAsia="zh-CN"/>
        </w:rPr>
        <w:t>”</w:t>
      </w:r>
      <w:r>
        <w:rPr>
          <w:rFonts w:hint="eastAsia"/>
          <w:b/>
          <w:bCs w:val="0"/>
          <w:lang w:val="en-US" w:eastAsia="zh-CN"/>
        </w:rPr>
        <w:t xml:space="preserve"> and </w:t>
      </w:r>
      <w:r>
        <w:rPr>
          <w:b/>
          <w:bCs w:val="0"/>
          <w:szCs w:val="20"/>
        </w:rPr>
        <w:t>"mobile-IAB</w:t>
      </w:r>
      <w:r>
        <w:rPr>
          <w:rFonts w:hint="eastAsia"/>
          <w:b/>
          <w:bCs w:val="0"/>
          <w:szCs w:val="20"/>
          <w:lang w:val="en-US" w:eastAsia="zh-CN"/>
        </w:rPr>
        <w:t xml:space="preserve"> supported</w:t>
      </w:r>
      <w:r>
        <w:rPr>
          <w:b/>
          <w:bCs w:val="0"/>
          <w:szCs w:val="20"/>
        </w:rPr>
        <w:t>" indication</w:t>
      </w:r>
      <w:r>
        <w:rPr>
          <w:rFonts w:hint="eastAsia"/>
          <w:b/>
          <w:bCs w:val="0"/>
          <w:szCs w:val="20"/>
          <w:lang w:val="en-US" w:eastAsia="zh-CN"/>
        </w:rPr>
        <w:t xml:space="preserve"> independently. </w:t>
      </w:r>
    </w:p>
    <w:p>
      <w:pPr>
        <w:spacing w:before="157" w:beforeLines="50"/>
        <w:jc w:val="both"/>
        <w:rPr>
          <w:rFonts w:hint="default" w:eastAsia="宋体"/>
          <w:b/>
          <w:bCs w:val="0"/>
          <w:szCs w:val="20"/>
          <w:lang w:val="en-US" w:eastAsia="zh-CN"/>
        </w:rPr>
      </w:pPr>
      <w:r>
        <w:rPr>
          <w:rFonts w:hint="eastAsia"/>
          <w:b w:val="0"/>
          <w:bCs/>
          <w:szCs w:val="20"/>
          <w:vertAlign w:val="baseline"/>
          <w:lang w:val="en-US" w:eastAsia="zh-CN"/>
        </w:rPr>
        <w:t xml:space="preserve">Generally speaking, when Rel-18 mobile IAB node connects to a parent cell that broadcasts </w:t>
      </w:r>
      <w:r>
        <w:rPr>
          <w:rFonts w:hint="default"/>
          <w:b w:val="0"/>
          <w:bCs/>
          <w:szCs w:val="20"/>
          <w:vertAlign w:val="baseline"/>
          <w:lang w:val="en-US" w:eastAsia="zh-CN"/>
        </w:rPr>
        <w:t>“</w:t>
      </w:r>
      <w:r>
        <w:rPr>
          <w:rFonts w:hint="eastAsia"/>
          <w:b w:val="0"/>
          <w:bCs/>
          <w:szCs w:val="20"/>
          <w:vertAlign w:val="baseline"/>
          <w:lang w:val="en-US" w:eastAsia="zh-CN"/>
        </w:rPr>
        <w:t>mobile IAB supported</w:t>
      </w:r>
      <w:r>
        <w:rPr>
          <w:rFonts w:hint="default"/>
          <w:b w:val="0"/>
          <w:bCs/>
          <w:szCs w:val="20"/>
          <w:vertAlign w:val="baseline"/>
          <w:lang w:val="en-US" w:eastAsia="zh-CN"/>
        </w:rPr>
        <w:t>”</w:t>
      </w:r>
      <w:r>
        <w:rPr>
          <w:rFonts w:hint="eastAsia"/>
          <w:b w:val="0"/>
          <w:bCs/>
          <w:szCs w:val="20"/>
          <w:vertAlign w:val="baseline"/>
          <w:lang w:val="en-US" w:eastAsia="zh-CN"/>
        </w:rPr>
        <w:t xml:space="preserve"> , it includes the </w:t>
      </w:r>
      <w:r>
        <w:rPr>
          <w:rFonts w:hint="default"/>
          <w:b w:val="0"/>
          <w:bCs/>
          <w:szCs w:val="20"/>
          <w:vertAlign w:val="baseline"/>
          <w:lang w:val="en-US" w:eastAsia="zh-CN"/>
        </w:rPr>
        <w:t>“</w:t>
      </w:r>
      <w:r>
        <w:rPr>
          <w:rFonts w:hint="eastAsia"/>
          <w:b w:val="0"/>
          <w:bCs/>
          <w:szCs w:val="20"/>
          <w:vertAlign w:val="baseline"/>
          <w:lang w:val="en-US" w:eastAsia="zh-CN"/>
        </w:rPr>
        <w:t>mobile IAB-node indication</w:t>
      </w:r>
      <w:r>
        <w:rPr>
          <w:rFonts w:hint="default"/>
          <w:b w:val="0"/>
          <w:bCs/>
          <w:szCs w:val="20"/>
          <w:vertAlign w:val="baseline"/>
          <w:lang w:val="en-US" w:eastAsia="zh-CN"/>
        </w:rPr>
        <w:t>”</w:t>
      </w:r>
      <w:r>
        <w:rPr>
          <w:rFonts w:hint="eastAsia"/>
          <w:b w:val="0"/>
          <w:bCs/>
          <w:szCs w:val="20"/>
          <w:vertAlign w:val="baseline"/>
          <w:lang w:val="en-US" w:eastAsia="zh-CN"/>
        </w:rPr>
        <w:t xml:space="preserve"> in the MSG. 5. However, when Rel-18 mobile IAB node acting as Rel-16/17 IAB connects to a parent cell that broadcasts </w:t>
      </w:r>
      <w:r>
        <w:rPr>
          <w:rFonts w:hint="default"/>
          <w:b w:val="0"/>
          <w:bCs/>
          <w:szCs w:val="20"/>
          <w:vertAlign w:val="baseline"/>
          <w:lang w:val="en-US" w:eastAsia="zh-CN"/>
        </w:rPr>
        <w:t>“</w:t>
      </w:r>
      <w:r>
        <w:rPr>
          <w:rFonts w:hint="eastAsia"/>
          <w:b w:val="0"/>
          <w:bCs/>
          <w:szCs w:val="20"/>
          <w:vertAlign w:val="baseline"/>
          <w:lang w:val="en-US" w:eastAsia="zh-CN"/>
        </w:rPr>
        <w:t>IAB supported</w:t>
      </w:r>
      <w:r>
        <w:rPr>
          <w:rFonts w:hint="default"/>
          <w:b w:val="0"/>
          <w:bCs/>
          <w:szCs w:val="20"/>
          <w:vertAlign w:val="baseline"/>
          <w:lang w:val="en-US" w:eastAsia="zh-CN"/>
        </w:rPr>
        <w:t>”</w:t>
      </w:r>
      <w:r>
        <w:rPr>
          <w:rFonts w:hint="eastAsia"/>
          <w:b w:val="0"/>
          <w:bCs/>
          <w:szCs w:val="20"/>
          <w:vertAlign w:val="baseline"/>
          <w:lang w:val="en-US" w:eastAsia="zh-CN"/>
        </w:rPr>
        <w:t xml:space="preserve">, it needs to include the </w:t>
      </w:r>
      <w:r>
        <w:t>“IAB-node indication” in MSG5</w:t>
      </w:r>
      <w:r>
        <w:rPr>
          <w:rFonts w:hint="eastAsia"/>
          <w:lang w:val="en-US" w:eastAsia="zh-CN"/>
        </w:rPr>
        <w:t xml:space="preserve"> during the RRC setup procedure</w:t>
      </w:r>
      <w:r>
        <w:rPr>
          <w:rFonts w:hint="eastAsia"/>
          <w:b w:val="0"/>
          <w:bCs/>
          <w:szCs w:val="20"/>
          <w:vertAlign w:val="baseline"/>
          <w:lang w:val="en-US" w:eastAsia="zh-CN"/>
        </w:rPr>
        <w:t xml:space="preserve">. It does not make sense for the Rel-18 mobile IAB node to include both </w:t>
      </w:r>
      <w:r>
        <w:rPr>
          <w:rFonts w:hint="default"/>
          <w:b w:val="0"/>
          <w:bCs/>
          <w:szCs w:val="20"/>
          <w:vertAlign w:val="baseline"/>
          <w:lang w:val="en-US" w:eastAsia="zh-CN"/>
        </w:rPr>
        <w:t>“</w:t>
      </w:r>
      <w:r>
        <w:rPr>
          <w:rFonts w:hint="eastAsia"/>
          <w:b w:val="0"/>
          <w:bCs/>
          <w:szCs w:val="20"/>
          <w:vertAlign w:val="baseline"/>
          <w:lang w:val="en-US" w:eastAsia="zh-CN"/>
        </w:rPr>
        <w:t>IAB supported</w:t>
      </w:r>
      <w:r>
        <w:rPr>
          <w:rFonts w:hint="default"/>
          <w:b w:val="0"/>
          <w:bCs/>
          <w:szCs w:val="20"/>
          <w:vertAlign w:val="baseline"/>
          <w:lang w:val="en-US" w:eastAsia="zh-CN"/>
        </w:rPr>
        <w:t>”</w:t>
      </w:r>
      <w:r>
        <w:rPr>
          <w:rFonts w:hint="eastAsia"/>
          <w:b w:val="0"/>
          <w:bCs/>
          <w:szCs w:val="20"/>
          <w:vertAlign w:val="baseline"/>
          <w:lang w:val="en-US" w:eastAsia="zh-CN"/>
        </w:rPr>
        <w:t xml:space="preserve"> and </w:t>
      </w:r>
      <w:r>
        <w:rPr>
          <w:rFonts w:hint="default"/>
          <w:b w:val="0"/>
          <w:bCs/>
          <w:szCs w:val="20"/>
          <w:vertAlign w:val="baseline"/>
          <w:lang w:val="en-US" w:eastAsia="zh-CN"/>
        </w:rPr>
        <w:t>“</w:t>
      </w:r>
      <w:r>
        <w:rPr>
          <w:rFonts w:hint="eastAsia"/>
          <w:b w:val="0"/>
          <w:bCs/>
          <w:szCs w:val="20"/>
          <w:vertAlign w:val="baseline"/>
          <w:lang w:val="en-US" w:eastAsia="zh-CN"/>
        </w:rPr>
        <w:t>mobile IAB-node indication</w:t>
      </w:r>
      <w:r>
        <w:rPr>
          <w:rFonts w:hint="default"/>
          <w:b w:val="0"/>
          <w:bCs/>
          <w:szCs w:val="20"/>
          <w:vertAlign w:val="baseline"/>
          <w:lang w:val="en-US" w:eastAsia="zh-CN"/>
        </w:rPr>
        <w:t>”</w:t>
      </w:r>
      <w:r>
        <w:rPr>
          <w:rFonts w:hint="eastAsia"/>
          <w:b w:val="0"/>
          <w:bCs/>
          <w:szCs w:val="20"/>
          <w:vertAlign w:val="baseline"/>
          <w:lang w:val="en-US" w:eastAsia="zh-CN"/>
        </w:rPr>
        <w:t xml:space="preserve"> in the MSG. 5. On the other hand, for the UE capability report,  Rel-18 mobile IAB node may indicate both the IAB and mobile IAB relevant capabilities if applicable. </w:t>
      </w:r>
    </w:p>
    <w:p>
      <w:pPr>
        <w:jc w:val="both"/>
        <w:rPr>
          <w:rFonts w:hint="eastAsia"/>
          <w:b/>
          <w:bCs w:val="0"/>
          <w:szCs w:val="20"/>
          <w:vertAlign w:val="baseline"/>
          <w:lang w:val="en-US" w:eastAsia="zh-CN"/>
        </w:rPr>
      </w:pPr>
      <w:r>
        <w:rPr>
          <w:rFonts w:hint="eastAsia"/>
          <w:b/>
          <w:bCs w:val="0"/>
          <w:szCs w:val="20"/>
          <w:lang w:val="en-US" w:eastAsia="zh-CN"/>
        </w:rPr>
        <w:t xml:space="preserve">Proposal 6: </w:t>
      </w:r>
      <w:r>
        <w:rPr>
          <w:rFonts w:hint="eastAsia"/>
          <w:b/>
          <w:bCs w:val="0"/>
          <w:szCs w:val="20"/>
          <w:vertAlign w:val="baseline"/>
          <w:lang w:val="en-US" w:eastAsia="zh-CN"/>
        </w:rPr>
        <w:t xml:space="preserve">When Rel-18 mobile IAB node connects to a parent cell that broadcasts </w:t>
      </w:r>
      <w:r>
        <w:rPr>
          <w:rFonts w:hint="default"/>
          <w:b/>
          <w:bCs w:val="0"/>
          <w:szCs w:val="20"/>
          <w:vertAlign w:val="baseline"/>
          <w:lang w:val="en-US" w:eastAsia="zh-CN"/>
        </w:rPr>
        <w:t>“</w:t>
      </w:r>
      <w:r>
        <w:rPr>
          <w:rFonts w:hint="eastAsia"/>
          <w:b/>
          <w:bCs w:val="0"/>
          <w:szCs w:val="20"/>
          <w:vertAlign w:val="baseline"/>
          <w:lang w:val="en-US" w:eastAsia="zh-CN"/>
        </w:rPr>
        <w:t>mobile IAB supported</w:t>
      </w:r>
      <w:r>
        <w:rPr>
          <w:rFonts w:hint="default"/>
          <w:b/>
          <w:bCs w:val="0"/>
          <w:szCs w:val="20"/>
          <w:vertAlign w:val="baseline"/>
          <w:lang w:val="en-US" w:eastAsia="zh-CN"/>
        </w:rPr>
        <w:t>”</w:t>
      </w:r>
      <w:r>
        <w:rPr>
          <w:rFonts w:hint="eastAsia"/>
          <w:b/>
          <w:bCs w:val="0"/>
          <w:szCs w:val="20"/>
          <w:vertAlign w:val="baseline"/>
          <w:lang w:val="en-US" w:eastAsia="zh-CN"/>
        </w:rPr>
        <w:t xml:space="preserve"> , it includes the </w:t>
      </w:r>
      <w:r>
        <w:rPr>
          <w:rFonts w:hint="default"/>
          <w:b/>
          <w:bCs w:val="0"/>
          <w:szCs w:val="20"/>
          <w:vertAlign w:val="baseline"/>
          <w:lang w:val="en-US" w:eastAsia="zh-CN"/>
        </w:rPr>
        <w:t>“</w:t>
      </w:r>
      <w:r>
        <w:rPr>
          <w:rFonts w:hint="eastAsia"/>
          <w:b/>
          <w:bCs w:val="0"/>
          <w:szCs w:val="20"/>
          <w:vertAlign w:val="baseline"/>
          <w:lang w:val="en-US" w:eastAsia="zh-CN"/>
        </w:rPr>
        <w:t>mobile IAB-node indication</w:t>
      </w:r>
      <w:r>
        <w:rPr>
          <w:rFonts w:hint="default"/>
          <w:b/>
          <w:bCs w:val="0"/>
          <w:szCs w:val="20"/>
          <w:vertAlign w:val="baseline"/>
          <w:lang w:val="en-US" w:eastAsia="zh-CN"/>
        </w:rPr>
        <w:t>”</w:t>
      </w:r>
      <w:r>
        <w:rPr>
          <w:rFonts w:hint="eastAsia"/>
          <w:b/>
          <w:bCs w:val="0"/>
          <w:szCs w:val="20"/>
          <w:vertAlign w:val="baseline"/>
          <w:lang w:val="en-US" w:eastAsia="zh-CN"/>
        </w:rPr>
        <w:t xml:space="preserve"> in the MSG. 5.</w:t>
      </w:r>
    </w:p>
    <w:p>
      <w:pPr>
        <w:jc w:val="both"/>
        <w:rPr>
          <w:rFonts w:hint="eastAsia"/>
          <w:b/>
          <w:bCs w:val="0"/>
          <w:szCs w:val="20"/>
          <w:vertAlign w:val="baseline"/>
          <w:lang w:val="en-US" w:eastAsia="zh-CN"/>
        </w:rPr>
      </w:pPr>
      <w:r>
        <w:rPr>
          <w:rFonts w:hint="eastAsia"/>
          <w:b/>
          <w:bCs w:val="0"/>
          <w:szCs w:val="20"/>
          <w:vertAlign w:val="baseline"/>
          <w:lang w:val="en-US" w:eastAsia="zh-CN"/>
        </w:rPr>
        <w:t xml:space="preserve">Proposal 7: When Rel-18 mobile IAB node acting as Rel-16/17 IAB connects to a parent cell that broadcasts </w:t>
      </w:r>
      <w:r>
        <w:rPr>
          <w:rFonts w:hint="default"/>
          <w:b/>
          <w:bCs w:val="0"/>
          <w:szCs w:val="20"/>
          <w:vertAlign w:val="baseline"/>
          <w:lang w:val="en-US" w:eastAsia="zh-CN"/>
        </w:rPr>
        <w:t>“</w:t>
      </w:r>
      <w:r>
        <w:rPr>
          <w:rFonts w:hint="eastAsia"/>
          <w:b/>
          <w:bCs w:val="0"/>
          <w:szCs w:val="20"/>
          <w:vertAlign w:val="baseline"/>
          <w:lang w:val="en-US" w:eastAsia="zh-CN"/>
        </w:rPr>
        <w:t>IAB supported</w:t>
      </w:r>
      <w:r>
        <w:rPr>
          <w:rFonts w:hint="default"/>
          <w:b/>
          <w:bCs w:val="0"/>
          <w:szCs w:val="20"/>
          <w:vertAlign w:val="baseline"/>
          <w:lang w:val="en-US" w:eastAsia="zh-CN"/>
        </w:rPr>
        <w:t>”</w:t>
      </w:r>
      <w:r>
        <w:rPr>
          <w:rFonts w:hint="eastAsia"/>
          <w:b/>
          <w:bCs w:val="0"/>
          <w:szCs w:val="20"/>
          <w:vertAlign w:val="baseline"/>
          <w:lang w:val="en-US" w:eastAsia="zh-CN"/>
        </w:rPr>
        <w:t xml:space="preserve">, it includes the </w:t>
      </w:r>
      <w:r>
        <w:rPr>
          <w:b/>
          <w:bCs w:val="0"/>
        </w:rPr>
        <w:t>“IAB-node indication” in MSG</w:t>
      </w:r>
      <w:r>
        <w:rPr>
          <w:rFonts w:hint="eastAsia"/>
          <w:b/>
          <w:bCs w:val="0"/>
          <w:lang w:val="en-US" w:eastAsia="zh-CN"/>
        </w:rPr>
        <w:t xml:space="preserve">. </w:t>
      </w:r>
      <w:r>
        <w:rPr>
          <w:b/>
          <w:bCs w:val="0"/>
        </w:rPr>
        <w:t>5</w:t>
      </w:r>
      <w:r>
        <w:rPr>
          <w:rFonts w:hint="eastAsia"/>
          <w:b/>
          <w:bCs w:val="0"/>
          <w:szCs w:val="20"/>
          <w:vertAlign w:val="baseline"/>
          <w:lang w:val="en-US" w:eastAsia="zh-CN"/>
        </w:rPr>
        <w:t xml:space="preserve">. </w:t>
      </w:r>
    </w:p>
    <w:p>
      <w:pPr>
        <w:jc w:val="both"/>
        <w:rPr>
          <w:rFonts w:hint="eastAsia"/>
          <w:b/>
          <w:bCs w:val="0"/>
          <w:szCs w:val="20"/>
          <w:vertAlign w:val="baseline"/>
          <w:lang w:val="en-US" w:eastAsia="zh-CN"/>
        </w:rPr>
      </w:pPr>
      <w:r>
        <w:rPr>
          <w:rFonts w:hint="eastAsia"/>
          <w:b/>
          <w:bCs w:val="0"/>
          <w:szCs w:val="20"/>
          <w:vertAlign w:val="baseline"/>
          <w:lang w:val="en-US" w:eastAsia="zh-CN"/>
        </w:rPr>
        <w:t>Proposal 8: For the UE capability report,  Rel-18 mobile IAB node may indicate both the IAB and mobile IAB relevant capabilities</w:t>
      </w:r>
      <w:bookmarkStart w:id="3" w:name="_GoBack"/>
      <w:bookmarkEnd w:id="3"/>
      <w:r>
        <w:rPr>
          <w:rFonts w:hint="eastAsia"/>
          <w:b/>
          <w:bCs w:val="0"/>
          <w:szCs w:val="20"/>
          <w:vertAlign w:val="baseline"/>
          <w:lang w:val="en-US" w:eastAsia="zh-CN"/>
        </w:rPr>
        <w:t>.</w:t>
      </w:r>
    </w:p>
    <w:p>
      <w:pPr>
        <w:jc w:val="both"/>
        <w:rPr>
          <w:lang w:eastAsia="zh-CN"/>
        </w:rPr>
      </w:pPr>
    </w:p>
    <w:p>
      <w:pPr>
        <w:pStyle w:val="3"/>
        <w:bidi w:val="0"/>
        <w:rPr>
          <w:rFonts w:hint="eastAsia"/>
          <w:lang w:val="en-US" w:eastAsia="zh-CN"/>
        </w:rPr>
      </w:pPr>
      <w:r>
        <w:rPr>
          <w:rFonts w:hint="eastAsia"/>
          <w:lang w:val="en-US" w:eastAsia="zh-CN"/>
        </w:rPr>
        <w:t>BAP impact</w:t>
      </w:r>
    </w:p>
    <w:p>
      <w:pPr>
        <w:rPr>
          <w:rFonts w:hint="default"/>
          <w:lang w:val="en-US" w:eastAsia="zh-CN"/>
        </w:rPr>
      </w:pPr>
      <w:r>
        <w:rPr>
          <w:rFonts w:hint="eastAsia"/>
          <w:lang w:val="en-US" w:eastAsia="zh-CN"/>
        </w:rPr>
        <w:t>During the last RAN2 meeting, the BAP impact was discussed and the following agreement was reached:</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08"/>
              <w:numPr>
                <w:ilvl w:val="0"/>
                <w:numId w:val="0"/>
              </w:numPr>
              <w:rPr>
                <w:rFonts w:hint="default" w:ascii="Times New Roman" w:hAnsi="Times New Roman" w:eastAsia="Times New Roman" w:cs="Times New Roman"/>
                <w:b w:val="0"/>
                <w:sz w:val="20"/>
                <w:szCs w:val="20"/>
              </w:rPr>
            </w:pPr>
            <w:r>
              <w:rPr>
                <w:rFonts w:hint="default" w:ascii="Times New Roman" w:hAnsi="Times New Roman" w:eastAsia="Times New Roman" w:cs="Times New Roman"/>
                <w:b w:val="0"/>
                <w:sz w:val="20"/>
                <w:szCs w:val="20"/>
              </w:rPr>
              <w:t>RAN2 agreed in last meeting:</w:t>
            </w:r>
          </w:p>
          <w:p>
            <w:pPr>
              <w:pStyle w:val="108"/>
              <w:ind w:left="504"/>
              <w:rPr>
                <w:rFonts w:hint="default" w:ascii="Times New Roman" w:hAnsi="Times New Roman" w:cs="Times New Roman"/>
                <w:b w:val="0"/>
                <w:bCs/>
                <w:sz w:val="20"/>
                <w:szCs w:val="20"/>
              </w:rPr>
            </w:pPr>
            <w:r>
              <w:rPr>
                <w:rFonts w:hint="default" w:ascii="Times New Roman" w:hAnsi="Times New Roman" w:cs="Times New Roman"/>
                <w:b w:val="0"/>
                <w:bCs/>
                <w:sz w:val="20"/>
                <w:szCs w:val="20"/>
              </w:rPr>
              <w:t>RAN2 assumes that there is no need to introduce logical-DU-specific default BAP configuration in mobile IAB from RAN2 perspective, unless requested by RAN3 otherwise (no LS for now).</w:t>
            </w:r>
          </w:p>
          <w:p>
            <w:pPr>
              <w:pStyle w:val="108"/>
              <w:ind w:left="504"/>
              <w:rPr>
                <w:rFonts w:hint="default" w:ascii="Times New Roman" w:hAnsi="Times New Roman" w:cs="Times New Roman"/>
                <w:b w:val="0"/>
                <w:bCs/>
                <w:sz w:val="20"/>
                <w:szCs w:val="20"/>
              </w:rPr>
            </w:pPr>
            <w:r>
              <w:rPr>
                <w:rFonts w:hint="default" w:ascii="Times New Roman" w:hAnsi="Times New Roman" w:cs="Times New Roman"/>
                <w:b w:val="0"/>
                <w:bCs/>
                <w:sz w:val="20"/>
                <w:szCs w:val="20"/>
              </w:rPr>
              <w:t xml:space="preserve">RAN2 understands that the F1AP (re)configured BAP configuration to one DU will not impact/override the usage of default BAP configuration by another DU. </w:t>
            </w:r>
          </w:p>
          <w:p>
            <w:pPr>
              <w:pStyle w:val="108"/>
              <w:ind w:left="504"/>
              <w:rPr>
                <w:rFonts w:hint="eastAsia"/>
                <w:vertAlign w:val="baseline"/>
                <w:lang w:val="en-US" w:eastAsia="zh-CN"/>
              </w:rPr>
            </w:pPr>
            <w:r>
              <w:rPr>
                <w:rFonts w:hint="default" w:ascii="Times New Roman" w:hAnsi="Times New Roman" w:cs="Times New Roman"/>
                <w:b w:val="0"/>
                <w:bCs/>
                <w:sz w:val="20"/>
                <w:szCs w:val="20"/>
              </w:rPr>
              <w:t>P2: RAN2 assumes there may be redundant BAP configuration entries for non-F1-U traffic and it is up to IAB node's implementation to decide which entry is selected. FFS if there is any specification impact.</w:t>
            </w:r>
          </w:p>
        </w:tc>
      </w:tr>
    </w:tbl>
    <w:p>
      <w:pPr>
        <w:keepNext w:val="0"/>
        <w:keepLines w:val="0"/>
        <w:pageBreakBefore w:val="0"/>
        <w:widowControl/>
        <w:kinsoku/>
        <w:wordWrap/>
        <w:overflowPunct/>
        <w:topLinePunct w:val="0"/>
        <w:autoSpaceDE/>
        <w:autoSpaceDN/>
        <w:bidi w:val="0"/>
        <w:adjustRightInd/>
        <w:snapToGrid/>
        <w:spacing w:before="157" w:beforeLines="50"/>
        <w:textAlignment w:val="auto"/>
        <w:rPr>
          <w:rFonts w:hint="eastAsia" w:cs="Times New Roman"/>
          <w:b w:val="0"/>
          <w:bCs/>
          <w:sz w:val="20"/>
          <w:szCs w:val="20"/>
          <w:lang w:val="en-US" w:eastAsia="zh-CN"/>
        </w:rPr>
      </w:pPr>
      <w:r>
        <w:rPr>
          <w:rFonts w:hint="eastAsia"/>
          <w:lang w:val="en-US" w:eastAsia="zh-CN"/>
        </w:rPr>
        <w:t>As we can see, RAN2 assumes that t</w:t>
      </w:r>
      <w:r>
        <w:rPr>
          <w:rFonts w:hint="default" w:ascii="Times New Roman" w:hAnsi="Times New Roman" w:cs="Times New Roman"/>
          <w:b w:val="0"/>
          <w:bCs/>
          <w:sz w:val="20"/>
          <w:szCs w:val="20"/>
        </w:rPr>
        <w:t xml:space="preserve">here may be redundant BAP configuration entries for non-F1-U traffic and it is up to IAB node's implementation to decide which entry is selected. </w:t>
      </w:r>
      <w:r>
        <w:rPr>
          <w:rFonts w:hint="eastAsia" w:cs="Times New Roman"/>
          <w:b w:val="0"/>
          <w:bCs/>
          <w:sz w:val="20"/>
          <w:szCs w:val="20"/>
          <w:lang w:val="en-US" w:eastAsia="zh-CN"/>
        </w:rPr>
        <w:t xml:space="preserve">It is </w:t>
      </w:r>
      <w:r>
        <w:rPr>
          <w:rFonts w:hint="default" w:ascii="Times New Roman" w:hAnsi="Times New Roman" w:cs="Times New Roman"/>
          <w:b w:val="0"/>
          <w:bCs/>
          <w:sz w:val="20"/>
          <w:szCs w:val="20"/>
        </w:rPr>
        <w:t>FFS if there is any specification impact</w:t>
      </w:r>
      <w:r>
        <w:rPr>
          <w:rFonts w:hint="eastAsia" w:cs="Times New Roman"/>
          <w:b w:val="0"/>
          <w:bCs/>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cs="Times New Roman"/>
          <w:sz w:val="20"/>
          <w:szCs w:val="20"/>
          <w:lang w:val="en-US" w:eastAsia="zh-CN"/>
        </w:rPr>
      </w:pPr>
      <w:r>
        <w:rPr>
          <w:rFonts w:hint="default" w:ascii="Times New Roman" w:hAnsi="Times New Roman" w:eastAsia="宋体" w:cs="Times New Roman"/>
          <w:sz w:val="20"/>
          <w:szCs w:val="20"/>
          <w:lang w:val="en-US" w:eastAsia="zh-CN"/>
        </w:rPr>
        <w:t xml:space="preserve">We have agreed that </w:t>
      </w:r>
      <w:r>
        <w:rPr>
          <w:rFonts w:hint="default" w:ascii="Times New Roman" w:hAnsi="Times New Roman" w:cs="Times New Roman"/>
          <w:sz w:val="20"/>
          <w:szCs w:val="20"/>
        </w:rPr>
        <w:t>F1AP BAP configuration for each logical DU should be configured/controlled by the DU’s respective donor-CU.</w:t>
      </w:r>
      <w:r>
        <w:rPr>
          <w:rFonts w:hint="default" w:ascii="Times New Roman" w:hAnsi="Times New Roman" w:eastAsia="宋体" w:cs="Times New Roman"/>
          <w:sz w:val="20"/>
          <w:szCs w:val="20"/>
          <w:lang w:val="en-US" w:eastAsia="zh-CN"/>
        </w:rPr>
        <w:t xml:space="preserve"> So it may be implemented with two </w:t>
      </w:r>
      <w:r>
        <w:rPr>
          <w:rFonts w:hint="default" w:ascii="Times New Roman" w:hAnsi="Times New Roman" w:cs="Times New Roman"/>
          <w:sz w:val="20"/>
          <w:szCs w:val="20"/>
        </w:rPr>
        <w:t>separate table</w:t>
      </w:r>
      <w:r>
        <w:rPr>
          <w:rFonts w:hint="default" w:ascii="Times New Roman" w:hAnsi="Times New Roman" w:eastAsia="宋体" w:cs="Times New Roman"/>
          <w:sz w:val="20"/>
          <w:szCs w:val="20"/>
          <w:lang w:val="en-US" w:eastAsia="zh-CN"/>
        </w:rPr>
        <w:t>s</w:t>
      </w:r>
      <w:r>
        <w:rPr>
          <w:rFonts w:hint="default" w:ascii="Times New Roman" w:hAnsi="Times New Roman" w:cs="Times New Roman"/>
          <w:sz w:val="20"/>
          <w:szCs w:val="20"/>
        </w:rPr>
        <w:t xml:space="preserve"> for the </w:t>
      </w:r>
      <w:r>
        <w:rPr>
          <w:rFonts w:hint="default" w:ascii="Times New Roman" w:hAnsi="Times New Roman" w:eastAsia="Calibri Light" w:cs="Times New Roman"/>
          <w:sz w:val="20"/>
          <w:szCs w:val="20"/>
          <w:lang w:eastAsia="ja-JP"/>
        </w:rPr>
        <w:t>Uplink</w:t>
      </w:r>
      <w:r>
        <w:rPr>
          <w:rFonts w:hint="default" w:ascii="Times New Roman" w:hAnsi="Times New Roman" w:eastAsia="Times New Roman" w:cs="Times New Roman"/>
          <w:sz w:val="20"/>
          <w:szCs w:val="20"/>
        </w:rPr>
        <w:t xml:space="preserve"> Traffic to Routing ID Mapping </w:t>
      </w:r>
      <w:r>
        <w:rPr>
          <w:rFonts w:hint="default" w:ascii="Times New Roman" w:hAnsi="Times New Roman" w:cs="Times New Roman"/>
          <w:sz w:val="20"/>
          <w:szCs w:val="20"/>
        </w:rPr>
        <w:t xml:space="preserve">configuration associated with </w:t>
      </w:r>
      <w:r>
        <w:rPr>
          <w:rFonts w:hint="default" w:ascii="Times New Roman" w:hAnsi="Times New Roman" w:eastAsia="宋体" w:cs="Times New Roman"/>
          <w:sz w:val="20"/>
          <w:szCs w:val="20"/>
          <w:lang w:val="en-US" w:eastAsia="zh-CN"/>
        </w:rPr>
        <w:t>two</w:t>
      </w:r>
      <w:r>
        <w:rPr>
          <w:rFonts w:hint="default" w:ascii="Times New Roman" w:hAnsi="Times New Roman" w:cs="Times New Roman"/>
          <w:sz w:val="20"/>
          <w:szCs w:val="20"/>
        </w:rPr>
        <w:t xml:space="preserve"> donor</w:t>
      </w:r>
      <w:r>
        <w:rPr>
          <w:rFonts w:hint="default" w:ascii="Times New Roman" w:hAnsi="Times New Roman" w:eastAsia="宋体" w:cs="Times New Roman"/>
          <w:sz w:val="20"/>
          <w:szCs w:val="20"/>
          <w:lang w:val="en-US" w:eastAsia="zh-CN"/>
        </w:rPr>
        <w:t>-</w:t>
      </w:r>
      <w:r>
        <w:rPr>
          <w:rFonts w:hint="default" w:ascii="Times New Roman" w:hAnsi="Times New Roman" w:cs="Times New Roman"/>
          <w:sz w:val="20"/>
          <w:szCs w:val="20"/>
        </w:rPr>
        <w:t>CU</w:t>
      </w:r>
      <w:r>
        <w:rPr>
          <w:rFonts w:hint="default" w:ascii="Times New Roman" w:hAnsi="Times New Roman" w:eastAsia="宋体" w:cs="Times New Roman"/>
          <w:sz w:val="20"/>
          <w:szCs w:val="20"/>
          <w:lang w:val="en-US" w:eastAsia="zh-CN"/>
        </w:rPr>
        <w:t>s respectively</w:t>
      </w:r>
      <w:r>
        <w:rPr>
          <w:rFonts w:hint="default" w:ascii="Times New Roman" w:hAnsi="Times New Roman" w:cs="Times New Roman"/>
          <w:sz w:val="20"/>
          <w:szCs w:val="20"/>
        </w:rPr>
        <w:t>. And logical DU may determine whether the non-F1-U traffic is f</w:t>
      </w:r>
      <w:r>
        <w:rPr>
          <w:rFonts w:hint="default" w:ascii="Times New Roman" w:hAnsi="Times New Roman" w:eastAsia="宋体" w:cs="Times New Roman"/>
          <w:sz w:val="20"/>
          <w:szCs w:val="20"/>
          <w:lang w:val="en-US" w:eastAsia="zh-CN"/>
        </w:rPr>
        <w:t>rom</w:t>
      </w:r>
      <w:r>
        <w:rPr>
          <w:rFonts w:hint="default" w:ascii="Times New Roman" w:hAnsi="Times New Roman" w:cs="Times New Roman"/>
          <w:sz w:val="20"/>
          <w:szCs w:val="20"/>
        </w:rPr>
        <w:t xml:space="preserve"> the source logical DU </w:t>
      </w:r>
      <w:r>
        <w:rPr>
          <w:rFonts w:hint="default" w:ascii="Times New Roman" w:hAnsi="Times New Roman" w:eastAsia="宋体" w:cs="Times New Roman"/>
          <w:sz w:val="20"/>
          <w:szCs w:val="20"/>
          <w:lang w:val="en-US" w:eastAsia="zh-CN"/>
        </w:rPr>
        <w:t xml:space="preserve">or from </w:t>
      </w:r>
      <w:r>
        <w:rPr>
          <w:rFonts w:hint="default" w:ascii="Times New Roman" w:hAnsi="Times New Roman" w:cs="Times New Roman"/>
          <w:sz w:val="20"/>
          <w:szCs w:val="20"/>
        </w:rPr>
        <w:t>target logical DU</w:t>
      </w:r>
      <w:r>
        <w:rPr>
          <w:rFonts w:hint="default" w:ascii="Times New Roman" w:hAnsi="Times New Roman" w:eastAsia="宋体" w:cs="Times New Roman"/>
          <w:sz w:val="20"/>
          <w:szCs w:val="20"/>
          <w:lang w:val="en-US" w:eastAsia="zh-CN"/>
        </w:rPr>
        <w:t>, and then look up the corresponding table for non-F1-U traffic delivering.</w:t>
      </w:r>
      <w:r>
        <w:rPr>
          <w:rFonts w:hint="eastAsia" w:ascii="Times New Roman" w:hAnsi="Times New Roman" w:eastAsia="宋体" w:cs="Times New Roman"/>
          <w:sz w:val="20"/>
          <w:szCs w:val="20"/>
          <w:lang w:val="en-US" w:eastAsia="zh-CN"/>
        </w:rPr>
        <w:t xml:space="preserve"> In this sense, the potential redundant BAP configuration entries can be avoided by the implementation of DU.</w:t>
      </w:r>
      <w:r>
        <w:rPr>
          <w:rFonts w:hint="eastAsia" w:cs="Times New Roman"/>
          <w:sz w:val="20"/>
          <w:szCs w:val="20"/>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cs="Times New Roman"/>
          <w:color w:val="auto"/>
          <w:sz w:val="20"/>
          <w:szCs w:val="20"/>
          <w:lang w:val="en-US" w:eastAsia="zh-CN"/>
        </w:rPr>
      </w:pPr>
      <w:r>
        <w:rPr>
          <w:rFonts w:hint="eastAsia" w:cs="Times New Roman"/>
          <w:sz w:val="20"/>
          <w:szCs w:val="20"/>
          <w:lang w:val="en-US" w:eastAsia="zh-CN"/>
        </w:rPr>
        <w:t>Based on the endorsed BAP running CR(R2-2309280), the following notes are added and it is</w:t>
      </w:r>
      <w:r>
        <w:rPr>
          <w:rFonts w:hint="eastAsia" w:cs="Times New Roman"/>
          <w:color w:val="auto"/>
          <w:sz w:val="20"/>
          <w:szCs w:val="20"/>
          <w:lang w:val="en-US" w:eastAsia="zh-CN"/>
        </w:rPr>
        <w:t xml:space="preserve"> </w:t>
      </w:r>
      <w:r>
        <w:rPr>
          <w:rFonts w:eastAsia="PMingLiU"/>
          <w:color w:val="auto"/>
          <w:lang w:eastAsia="zh-TW"/>
        </w:rPr>
        <w:t>FFS on whether we need to further clarify that the</w:t>
      </w:r>
      <w:r>
        <w:rPr>
          <w:rFonts w:hint="eastAsia" w:eastAsia="等线"/>
          <w:color w:val="auto"/>
          <w:lang w:eastAsia="zh-CN"/>
        </w:rPr>
        <w:t xml:space="preserve"> </w:t>
      </w:r>
      <w:r>
        <w:rPr>
          <w:rFonts w:eastAsia="等线"/>
          <w:color w:val="auto"/>
          <w:lang w:eastAsia="zh-CN"/>
        </w:rPr>
        <w:t>“</w:t>
      </w:r>
      <w:r>
        <w:rPr>
          <w:rFonts w:eastAsia="PMingLiU"/>
          <w:color w:val="auto"/>
          <w:lang w:eastAsia="zh-TW"/>
        </w:rPr>
        <w:t>multiple entries for F1-C/non-F1” only happens when the mobile IAB-node implementation chooses to use single mapping table for two logical DUs</w:t>
      </w:r>
      <w:r>
        <w:rPr>
          <w:rFonts w:hint="default" w:cs="Times New Roman"/>
          <w:color w:val="auto"/>
          <w:sz w:val="20"/>
          <w:szCs w:val="20"/>
          <w:lang w:val="en-US" w:eastAsia="zh-CN"/>
        </w:rPr>
        <w:t>”</w:t>
      </w:r>
      <w:r>
        <w:rPr>
          <w:rFonts w:hint="eastAsia" w:cs="Times New Roman"/>
          <w:color w:val="auto"/>
          <w:sz w:val="20"/>
          <w:szCs w:val="20"/>
          <w:lang w:val="en-US" w:eastAsia="zh-CN"/>
        </w:rPr>
        <w:t xml:space="preserve">. In our opinion, if the BAP running CR plan to mention single mapping table and separate two mapping tables implementation, it would be better to further clarify that the </w:t>
      </w:r>
      <w:r>
        <w:rPr>
          <w:rFonts w:eastAsia="等线"/>
          <w:color w:val="auto"/>
          <w:lang w:eastAsia="zh-CN"/>
        </w:rPr>
        <w:t>“</w:t>
      </w:r>
      <w:r>
        <w:rPr>
          <w:rFonts w:eastAsia="PMingLiU"/>
          <w:color w:val="auto"/>
          <w:lang w:eastAsia="zh-TW"/>
        </w:rPr>
        <w:t>multiple entries for F1-C/non-F1”</w:t>
      </w:r>
      <w:r>
        <w:rPr>
          <w:rFonts w:hint="eastAsia" w:cs="Times New Roman"/>
          <w:color w:val="auto"/>
          <w:sz w:val="20"/>
          <w:szCs w:val="20"/>
          <w:lang w:val="en-US" w:eastAsia="zh-CN"/>
        </w:rPr>
        <w:t xml:space="preserve"> only happen for single mapping table implementation. Otherwise, it is suggested to remove both notes.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119"/>
              <w:ind w:left="680" w:hanging="680"/>
              <w:jc w:val="both"/>
              <w:rPr>
                <w:color w:val="FF0000"/>
              </w:rPr>
            </w:pPr>
            <w:r>
              <w:t xml:space="preserve">NOTE: For a mobile IAB-node with two logical DUs, </w:t>
            </w:r>
            <w:r>
              <w:rPr>
                <w:lang w:eastAsia="zh-CN"/>
              </w:rPr>
              <w:t>F1AP configurations for each logical DU should be provided by the DU’s respective IAB-donor-CU via the corresponding F1AP</w:t>
            </w:r>
            <w:r>
              <w:t xml:space="preserve">. </w:t>
            </w:r>
            <w:r>
              <w:rPr>
                <w:color w:val="FF0000"/>
              </w:rPr>
              <w:t>In that case, the mobile IAB-node implementation is not restricted to maintain either one combined or separate mapping configuration for the two logical DUs. The following specification refers to the implementation example of one combined mapping configuration for the two logical DUs."</w:t>
            </w:r>
          </w:p>
          <w:p>
            <w:pPr>
              <w:pStyle w:val="119"/>
              <w:ind w:left="680" w:hanging="680"/>
              <w:jc w:val="both"/>
              <w:rPr>
                <w:rFonts w:hint="default" w:eastAsia="宋体"/>
                <w:color w:val="FF0000"/>
                <w:lang w:val="en-US" w:eastAsia="zh-CN"/>
              </w:rPr>
            </w:pPr>
            <w:r>
              <w:rPr>
                <w:rFonts w:hint="eastAsia" w:eastAsia="宋体"/>
                <w:color w:val="FF0000"/>
                <w:lang w:val="en-US" w:eastAsia="zh-CN"/>
              </w:rPr>
              <w:t>......</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cs="Times New Roman"/>
                <w:color w:val="auto"/>
                <w:sz w:val="20"/>
                <w:szCs w:val="20"/>
                <w:vertAlign w:val="baseline"/>
                <w:lang w:val="en-US" w:eastAsia="zh-CN"/>
              </w:rPr>
            </w:pPr>
            <w:r>
              <w:rPr>
                <w:rFonts w:eastAsia="PMingLiU"/>
                <w:color w:val="FF0000"/>
                <w:lang w:eastAsia="zh-TW"/>
              </w:rPr>
              <w:t>Editor’s note: FFS on whether we need to further clarify that the</w:t>
            </w:r>
            <w:r>
              <w:rPr>
                <w:rFonts w:hint="eastAsia" w:eastAsia="等线"/>
                <w:color w:val="FF0000"/>
                <w:lang w:eastAsia="zh-CN"/>
              </w:rPr>
              <w:t xml:space="preserve"> </w:t>
            </w:r>
            <w:r>
              <w:rPr>
                <w:rFonts w:eastAsia="等线"/>
                <w:color w:val="FF0000"/>
                <w:lang w:eastAsia="zh-CN"/>
              </w:rPr>
              <w:t>“</w:t>
            </w:r>
            <w:r>
              <w:rPr>
                <w:rFonts w:eastAsia="PMingLiU"/>
                <w:color w:val="FF0000"/>
                <w:lang w:eastAsia="zh-TW"/>
              </w:rPr>
              <w:t>multiple entries for F1-C/non-F1” only happens when the mobile IAB-node implementation chooses to use single mapping table for two logical DUs.</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等线"/>
          <w:b/>
          <w:bCs/>
          <w:sz w:val="20"/>
          <w:szCs w:val="20"/>
          <w:lang w:val="en-US" w:eastAsia="zh-CN"/>
        </w:rPr>
      </w:pPr>
      <w:r>
        <w:rPr>
          <w:rFonts w:hint="eastAsia" w:eastAsia="等线"/>
          <w:b/>
          <w:bCs/>
          <w:sz w:val="20"/>
          <w:szCs w:val="20"/>
          <w:lang w:val="en-US" w:eastAsia="zh-CN"/>
        </w:rPr>
        <w:t>Proposal 9: I</w:t>
      </w:r>
      <w:r>
        <w:rPr>
          <w:rFonts w:hint="eastAsia" w:cs="Times New Roman"/>
          <w:b/>
          <w:bCs/>
          <w:color w:val="auto"/>
          <w:sz w:val="20"/>
          <w:szCs w:val="20"/>
          <w:lang w:val="en-US" w:eastAsia="zh-CN"/>
        </w:rPr>
        <w:t xml:space="preserve">f the BAP running CR plan to mention single mapping table and separate two mapping tables implementation, it would be better to further clarify that the </w:t>
      </w:r>
      <w:r>
        <w:rPr>
          <w:rFonts w:eastAsia="等线"/>
          <w:b/>
          <w:bCs/>
          <w:color w:val="auto"/>
          <w:lang w:eastAsia="zh-CN"/>
        </w:rPr>
        <w:t>“</w:t>
      </w:r>
      <w:r>
        <w:rPr>
          <w:rFonts w:eastAsia="PMingLiU"/>
          <w:b/>
          <w:bCs/>
          <w:color w:val="auto"/>
          <w:lang w:eastAsia="zh-TW"/>
        </w:rPr>
        <w:t>multiple entries for F1-C/non-F1”</w:t>
      </w:r>
      <w:r>
        <w:rPr>
          <w:rFonts w:hint="eastAsia" w:cs="Times New Roman"/>
          <w:b/>
          <w:bCs/>
          <w:color w:val="auto"/>
          <w:sz w:val="20"/>
          <w:szCs w:val="20"/>
          <w:lang w:val="en-US" w:eastAsia="zh-CN"/>
        </w:rPr>
        <w:t xml:space="preserve"> only happen for single mapping table implementation. Otherwise, it is suggested to remove both notes</w:t>
      </w:r>
      <w:r>
        <w:rPr>
          <w:rFonts w:hint="eastAsia" w:eastAsia="等线"/>
          <w:b/>
          <w:bCs/>
          <w:sz w:val="20"/>
          <w:szCs w:val="20"/>
          <w:lang w:val="en-US" w:eastAsia="zh-CN"/>
        </w:rPr>
        <w:t>.</w:t>
      </w:r>
    </w:p>
    <w:p>
      <w:pPr>
        <w:pStyle w:val="3"/>
        <w:bidi w:val="0"/>
        <w:rPr>
          <w:rFonts w:hint="default"/>
          <w:lang w:val="en-US" w:eastAsia="zh-CN"/>
        </w:rPr>
      </w:pPr>
      <w:r>
        <w:rPr>
          <w:rFonts w:hint="eastAsia"/>
          <w:lang w:val="en-US" w:eastAsia="zh-CN"/>
        </w:rPr>
        <w:t>RNA</w:t>
      </w:r>
    </w:p>
    <w:p>
      <w:pPr>
        <w:overflowPunct w:val="0"/>
        <w:autoSpaceDE w:val="0"/>
        <w:autoSpaceDN w:val="0"/>
        <w:adjustRightInd w:val="0"/>
        <w:spacing w:before="156" w:beforeLines="50"/>
        <w:jc w:val="both"/>
        <w:rPr>
          <w:sz w:val="20"/>
          <w:szCs w:val="20"/>
          <w:lang w:val="en-US" w:eastAsia="zh-CN"/>
        </w:rPr>
      </w:pPr>
      <w:r>
        <w:rPr>
          <w:rFonts w:hint="eastAsia"/>
          <w:sz w:val="20"/>
          <w:szCs w:val="20"/>
          <w:lang w:val="en-US" w:eastAsia="zh-CN"/>
        </w:rPr>
        <w:t xml:space="preserve">For NR system, the UE is allowed to enter RRC_INACTIVE state. Before entering the RRC_INACTIVE state, the UE is configured by the last serving gNB with an RNA. The RNA can cover one or multiple cells, and should be </w:t>
      </w:r>
      <w:r>
        <w:rPr>
          <w:sz w:val="20"/>
          <w:szCs w:val="20"/>
        </w:rPr>
        <w:t xml:space="preserve">a subset of </w:t>
      </w:r>
      <w:r>
        <w:rPr>
          <w:rFonts w:hint="eastAsia"/>
          <w:sz w:val="20"/>
          <w:szCs w:val="20"/>
          <w:lang w:val="en-US" w:eastAsia="zh-CN"/>
        </w:rPr>
        <w:t xml:space="preserve">or equal to </w:t>
      </w:r>
      <w:r>
        <w:rPr>
          <w:sz w:val="20"/>
          <w:szCs w:val="20"/>
        </w:rPr>
        <w:t>a CN Tracking Area</w:t>
      </w:r>
      <w:r>
        <w:rPr>
          <w:rFonts w:hint="eastAsia"/>
          <w:sz w:val="20"/>
          <w:szCs w:val="20"/>
          <w:lang w:val="en-US" w:eastAsia="zh-CN"/>
        </w:rPr>
        <w:t>. To be specific, the RNA may be configured via a list of cells (NCGI) or a list of RAN Area Code (RANAC) or TAC for different PLMNs. UE needs to perform RNAU</w:t>
      </w:r>
      <w:r>
        <w:rPr>
          <w:sz w:val="20"/>
          <w:szCs w:val="20"/>
        </w:rPr>
        <w:t xml:space="preserve"> when the UE </w:t>
      </w:r>
      <w:r>
        <w:rPr>
          <w:rFonts w:hint="eastAsia"/>
          <w:sz w:val="20"/>
          <w:szCs w:val="20"/>
          <w:lang w:val="en-US" w:eastAsia="zh-CN"/>
        </w:rPr>
        <w:t>re-</w:t>
      </w:r>
      <w:r>
        <w:rPr>
          <w:sz w:val="20"/>
          <w:szCs w:val="20"/>
        </w:rPr>
        <w:t xml:space="preserve">selects a cell that does not belong to </w:t>
      </w:r>
      <w:r>
        <w:rPr>
          <w:rFonts w:hint="eastAsia"/>
          <w:sz w:val="20"/>
          <w:szCs w:val="20"/>
          <w:lang w:val="en-US" w:eastAsia="zh-CN"/>
        </w:rPr>
        <w:t>its previously</w:t>
      </w:r>
      <w:r>
        <w:rPr>
          <w:sz w:val="20"/>
          <w:szCs w:val="20"/>
        </w:rPr>
        <w:t xml:space="preserve"> configured RNA.</w:t>
      </w:r>
      <w:r>
        <w:rPr>
          <w:rFonts w:hint="eastAsia"/>
          <w:sz w:val="20"/>
          <w:szCs w:val="20"/>
          <w:lang w:val="en-US" w:eastAsia="zh-CN"/>
        </w:rPr>
        <w:t xml:space="preserve"> </w:t>
      </w:r>
    </w:p>
    <w:p>
      <w:pPr>
        <w:numPr>
          <w:ilvl w:val="0"/>
          <w:numId w:val="0"/>
        </w:numPr>
        <w:ind w:leftChars="0"/>
        <w:jc w:val="both"/>
        <w:rPr>
          <w:sz w:val="20"/>
          <w:szCs w:val="20"/>
          <w:lang w:val="en-US" w:eastAsia="zh-CN"/>
        </w:rPr>
      </w:pPr>
      <w:r>
        <w:rPr>
          <w:rFonts w:hint="eastAsia"/>
          <w:sz w:val="20"/>
          <w:szCs w:val="20"/>
          <w:lang w:val="en-US" w:eastAsia="zh-CN"/>
        </w:rPr>
        <w:t xml:space="preserve">With it comes to the mobile IAB scenario, the mobile IAB node moves together with the vehicles, which may be across different RNAs. Suppose the UE is configured with a list of cells for RNA when entering into RRC_INACTIVE state, the UEs served by the mobile IAB-DU may detect that the NCGI change of mobile IAB-DU when the mobile IAB node performs HO. It is very likely that the new NCGI of mobile IAB-DU is not included in the list of cells for UE's RNA and the RRC_INACTIVE UE served by the mobile IAB-DU will perform the RNAU procedure. In order to reduce unnecessary RNAU, it is suggested that the RRC_INACTIVE UE may be notified of the NCGI change of the cells of mobile IAB-node-DU and UE replaces the old NCGI with the new one in its cell list of RAN area.  </w:t>
      </w:r>
    </w:p>
    <w:p>
      <w:pPr>
        <w:jc w:val="both"/>
        <w:rPr>
          <w:rFonts w:hint="default"/>
          <w:lang w:val="en-US" w:eastAsia="zh-CN"/>
        </w:rPr>
      </w:pPr>
      <w:r>
        <w:rPr>
          <w:rFonts w:hint="eastAsia"/>
          <w:b/>
          <w:bCs/>
          <w:sz w:val="20"/>
          <w:szCs w:val="20"/>
          <w:lang w:val="en-US" w:eastAsia="zh-CN"/>
        </w:rPr>
        <w:t>Proposal 10: For the RNA configuration via a list of NCGIs, in order to reduce unnecessary RNAU, the  RRC_INACTIVE UE may be notified of the NCGI change of the cells of mobile IAB-node-DU and UE then replace the old NCGI with new NCGI of mobile IAB-node-DU</w:t>
      </w:r>
      <w:r>
        <w:rPr>
          <w:b/>
          <w:bCs/>
          <w:sz w:val="20"/>
          <w:szCs w:val="20"/>
          <w:lang w:val="en-US" w:eastAsia="zh-CN"/>
        </w:rPr>
        <w:t>’</w:t>
      </w:r>
      <w:r>
        <w:rPr>
          <w:rFonts w:hint="eastAsia"/>
          <w:b/>
          <w:bCs/>
          <w:sz w:val="20"/>
          <w:szCs w:val="20"/>
          <w:lang w:val="en-US" w:eastAsia="zh-CN"/>
        </w:rPr>
        <w:t>s cell for the cells included in the RNA configuration.</w:t>
      </w:r>
    </w:p>
    <w:p>
      <w:pPr>
        <w:pStyle w:val="3"/>
        <w:bidi w:val="0"/>
        <w:rPr>
          <w:rFonts w:hint="eastAsia"/>
          <w:lang w:val="en-US" w:eastAsia="zh-CN"/>
        </w:rPr>
      </w:pPr>
      <w:r>
        <w:rPr>
          <w:rFonts w:hint="eastAsia"/>
          <w:lang w:val="en-US" w:eastAsia="zh-CN"/>
        </w:rPr>
        <w:t>PCI collision</w:t>
      </w:r>
    </w:p>
    <w:p>
      <w:pPr>
        <w:jc w:val="both"/>
        <w:rPr>
          <w:rFonts w:hint="eastAsia"/>
          <w:b w:val="0"/>
          <w:bCs w:val="0"/>
          <w:highlight w:val="none"/>
          <w:lang w:val="en-US" w:eastAsia="zh-CN"/>
        </w:rPr>
      </w:pPr>
      <w:r>
        <w:rPr>
          <w:rFonts w:hint="eastAsia"/>
          <w:lang w:val="en-US" w:eastAsia="zh-CN"/>
        </w:rPr>
        <w:t xml:space="preserve">The PCI of mobile IAB-DU cell may collide with other cells due to the movement of mobile IAB-MT. During </w:t>
      </w:r>
      <w:r>
        <w:rPr>
          <w:rFonts w:hint="eastAsia"/>
          <w:lang w:eastAsia="zh-CN"/>
        </w:rPr>
        <w:t xml:space="preserve">RAN3#117 bis meeting, </w:t>
      </w:r>
      <w:r>
        <w:rPr>
          <w:rFonts w:hint="eastAsia"/>
          <w:lang w:val="en-US" w:eastAsia="zh-CN"/>
        </w:rPr>
        <w:t xml:space="preserve">it has been agreed that </w:t>
      </w:r>
      <w:r>
        <w:rPr>
          <w:rFonts w:hint="eastAsia"/>
          <w:lang w:eastAsia="zh-CN"/>
        </w:rPr>
        <w:t xml:space="preserve">PCI collision can be detected by the F1-terminating IAB-donor of the mobile IAB-node. </w:t>
      </w:r>
      <w:r>
        <w:rPr>
          <w:rFonts w:hint="eastAsia"/>
          <w:lang w:val="en-US" w:eastAsia="zh-CN"/>
        </w:rPr>
        <w:t xml:space="preserve">For example, </w:t>
      </w:r>
      <w:r>
        <w:rPr>
          <w:rFonts w:hint="eastAsia"/>
          <w:highlight w:val="none"/>
          <w:lang w:val="en-US" w:eastAsia="zh-CN"/>
        </w:rPr>
        <w:t xml:space="preserve">the donor CU can know the PCI used by the mobile IAB-DU via the </w:t>
      </w:r>
      <w:r>
        <w:rPr>
          <w:highlight w:val="none"/>
          <w:lang w:val="en-US" w:eastAsia="zh-CN"/>
        </w:rPr>
        <w:t>F1 Setup procedure</w:t>
      </w:r>
      <w:r>
        <w:rPr>
          <w:rFonts w:hint="eastAsia"/>
          <w:highlight w:val="none"/>
          <w:lang w:val="en-US" w:eastAsia="zh-CN"/>
        </w:rPr>
        <w:t>. During the full migration, the target donor CU</w:t>
      </w:r>
      <w:r>
        <w:rPr>
          <w:rFonts w:hint="eastAsia"/>
          <w:lang w:val="en-US" w:eastAsia="zh-CN"/>
        </w:rPr>
        <w:t xml:space="preserve"> could detect PCI collision upon receiving the F1 setup request (which include the PCI used by the mobile IAB-DU) from mobile IAB-DU. Suppose the PCI collision is detected, the target donor CU </w:t>
      </w:r>
      <w:r>
        <w:rPr>
          <w:rFonts w:hint="eastAsia"/>
          <w:b w:val="0"/>
          <w:bCs w:val="0"/>
          <w:lang w:val="en-US" w:eastAsia="zh-CN"/>
        </w:rPr>
        <w:t xml:space="preserve">may </w:t>
      </w:r>
      <w:r>
        <w:rPr>
          <w:rFonts w:hint="eastAsia"/>
          <w:b w:val="0"/>
          <w:bCs w:val="0"/>
          <w:highlight w:val="none"/>
          <w:lang w:val="en-US" w:eastAsia="zh-CN"/>
        </w:rPr>
        <w:t xml:space="preserve">request a new PCI from OAM or </w:t>
      </w:r>
      <w:r>
        <w:rPr>
          <w:b w:val="0"/>
          <w:bCs w:val="0"/>
          <w:highlight w:val="none"/>
          <w:lang w:val="en-US" w:eastAsia="zh-CN"/>
        </w:rPr>
        <w:t>select a new PCI value from the preconfigured PCI list</w:t>
      </w:r>
      <w:r>
        <w:rPr>
          <w:rFonts w:hint="eastAsia"/>
          <w:b w:val="0"/>
          <w:bCs w:val="0"/>
          <w:highlight w:val="none"/>
          <w:lang w:val="en-US" w:eastAsia="zh-CN"/>
        </w:rPr>
        <w:t xml:space="preserve">, </w:t>
      </w:r>
      <w:r>
        <w:rPr>
          <w:b w:val="0"/>
          <w:bCs w:val="0"/>
          <w:highlight w:val="none"/>
          <w:lang w:val="en-US" w:eastAsia="zh-CN"/>
        </w:rPr>
        <w:t>and</w:t>
      </w:r>
      <w:r>
        <w:rPr>
          <w:rFonts w:hint="eastAsia"/>
          <w:b w:val="0"/>
          <w:bCs w:val="0"/>
          <w:highlight w:val="none"/>
          <w:lang w:val="en-US" w:eastAsia="zh-CN"/>
        </w:rPr>
        <w:t xml:space="preserve"> then</w:t>
      </w:r>
      <w:r>
        <w:rPr>
          <w:b w:val="0"/>
          <w:bCs w:val="0"/>
          <w:highlight w:val="none"/>
          <w:lang w:val="en-US" w:eastAsia="zh-CN"/>
        </w:rPr>
        <w:t xml:space="preserve"> send it to the </w:t>
      </w:r>
      <w:r>
        <w:rPr>
          <w:rFonts w:hint="eastAsia"/>
          <w:b w:val="0"/>
          <w:bCs w:val="0"/>
          <w:highlight w:val="none"/>
          <w:lang w:val="en-US" w:eastAsia="zh-CN"/>
        </w:rPr>
        <w:t>mobile IAB</w:t>
      </w:r>
      <w:r>
        <w:rPr>
          <w:b w:val="0"/>
          <w:bCs w:val="0"/>
          <w:highlight w:val="none"/>
          <w:lang w:val="en-US" w:eastAsia="zh-CN"/>
        </w:rPr>
        <w:t>-DU</w:t>
      </w:r>
      <w:r>
        <w:rPr>
          <w:rFonts w:hint="eastAsia"/>
          <w:b w:val="0"/>
          <w:bCs w:val="0"/>
          <w:highlight w:val="none"/>
          <w:lang w:val="en-US" w:eastAsia="zh-CN"/>
        </w:rPr>
        <w:t xml:space="preserve">. </w:t>
      </w:r>
    </w:p>
    <w:p>
      <w:pPr>
        <w:numPr>
          <w:ilvl w:val="-1"/>
          <w:numId w:val="0"/>
        </w:numPr>
        <w:jc w:val="both"/>
        <w:rPr>
          <w:rFonts w:hint="default" w:eastAsia="等线"/>
          <w:lang w:val="en-US" w:eastAsia="zh-CN"/>
        </w:rPr>
      </w:pPr>
      <w:r>
        <w:rPr>
          <w:rFonts w:hint="eastAsia"/>
          <w:lang w:val="en-US" w:eastAsia="zh-CN"/>
        </w:rPr>
        <w:t xml:space="preserve">When it comes to the partial migration, </w:t>
      </w:r>
      <w:r>
        <w:rPr>
          <w:rFonts w:hint="eastAsia" w:eastAsia="等线"/>
          <w:lang w:val="en-US" w:eastAsia="zh-CN"/>
        </w:rPr>
        <w:t xml:space="preserve">the mobile IAB-DU has only F1 connection with F1-terminating donor CU and the F1-terminating donor CU may be not aware of the PCIs used in the neighbouring cells of the mobile IAB cell. It is doubtful how the F1-terminating donor CU detects the PCI collision of mobile IAB-DU. In our opinion, if there is Xn connection between the F1-terminating donor CU and target donor CU, the F1-terminating donor CU can be aware of PCIs of serving cells and neighbour cells of the target donor CU via existing XnAP signaling, e.g., </w:t>
      </w:r>
      <w:r>
        <w:t>X</w:t>
      </w:r>
      <w:r>
        <w:rPr>
          <w:rFonts w:hint="eastAsia"/>
          <w:lang w:val="en-US" w:eastAsia="zh-CN"/>
        </w:rPr>
        <w:t>n</w:t>
      </w:r>
      <w:r>
        <w:t xml:space="preserve"> SETUP</w:t>
      </w:r>
      <w:r>
        <w:rPr>
          <w:rFonts w:hint="eastAsia"/>
          <w:lang w:val="en-US" w:eastAsia="zh-CN"/>
        </w:rPr>
        <w:t>/NG-RAN NODE CONFIGURATION UPDATE</w:t>
      </w:r>
      <w:r>
        <w:rPr>
          <w:rFonts w:hint="eastAsia" w:eastAsia="等线"/>
          <w:lang w:val="en-US" w:eastAsia="zh-CN"/>
        </w:rPr>
        <w:t>. Thus F1-terminating donor CU can detect potential PCI collision and then reconfigure the PCI for mobile IAB-DU</w:t>
      </w:r>
      <w:r>
        <w:rPr>
          <w:rFonts w:hint="default" w:eastAsia="等线"/>
          <w:lang w:val="en-US" w:eastAsia="zh-CN"/>
        </w:rPr>
        <w:t>’</w:t>
      </w:r>
      <w:r>
        <w:rPr>
          <w:rFonts w:hint="eastAsia" w:eastAsia="等线"/>
          <w:lang w:val="en-US" w:eastAsia="zh-CN"/>
        </w:rPr>
        <w:t xml:space="preserve">s cell when necessary. However, if the Xn connection is not available, it is hard for the F1-terminating donor CU to be aware of the PCI collision. On the other hand, the PCI reconfiguration after the F1 connection SETUP or </w:t>
      </w:r>
      <w:r>
        <w:rPr>
          <w:rFonts w:hint="eastAsia"/>
          <w:lang w:val="en-US" w:eastAsia="zh-CN"/>
        </w:rPr>
        <w:t>NG-RAN node CONFIGURATION UPDATE</w:t>
      </w:r>
      <w:r>
        <w:rPr>
          <w:rFonts w:hint="eastAsia" w:eastAsia="等线"/>
          <w:lang w:val="en-US" w:eastAsia="zh-CN"/>
        </w:rPr>
        <w:t xml:space="preserve"> may lead to longer latency and cause interference to neighbor cells.  </w:t>
      </w:r>
    </w:p>
    <w:p>
      <w:pPr>
        <w:numPr>
          <w:ilvl w:val="-1"/>
          <w:numId w:val="0"/>
        </w:numPr>
        <w:jc w:val="both"/>
        <w:rPr>
          <w:rFonts w:hint="eastAsia"/>
          <w:color w:val="auto"/>
          <w:highlight w:val="none"/>
          <w:lang w:val="en-US" w:eastAsia="zh-CN"/>
        </w:rPr>
      </w:pPr>
      <w:r>
        <w:rPr>
          <w:rFonts w:hint="eastAsia" w:eastAsia="等线"/>
          <w:lang w:val="en-US" w:eastAsia="zh-CN"/>
        </w:rPr>
        <w:t xml:space="preserve">Based on the above analysis, it is suggested that the new PCI be reconfigured as soon as possible before the potential collision happens. To be specific, </w:t>
      </w:r>
      <w:r>
        <w:rPr>
          <w:rFonts w:hint="eastAsia"/>
          <w:color w:val="auto"/>
          <w:highlight w:val="none"/>
          <w:lang w:val="en-US" w:eastAsia="zh-CN"/>
        </w:rPr>
        <w:t>the PCI used by mobile IAB DU</w:t>
      </w:r>
      <w:r>
        <w:rPr>
          <w:rFonts w:hint="default"/>
          <w:color w:val="auto"/>
          <w:highlight w:val="none"/>
          <w:lang w:val="en-US" w:eastAsia="zh-CN"/>
        </w:rPr>
        <w:t>’</w:t>
      </w:r>
      <w:r>
        <w:rPr>
          <w:rFonts w:hint="eastAsia"/>
          <w:color w:val="auto"/>
          <w:highlight w:val="none"/>
          <w:lang w:val="en-US" w:eastAsia="zh-CN"/>
        </w:rPr>
        <w:t>s cells may be sent by source donor CU to the target donor CU during HO preparation phase of co-located mobile IAB-MT. If the target donor CU receives the PCI of mobile IAB DU</w:t>
      </w:r>
      <w:r>
        <w:rPr>
          <w:rFonts w:hint="default"/>
          <w:color w:val="auto"/>
          <w:highlight w:val="none"/>
          <w:lang w:val="en-US" w:eastAsia="zh-CN"/>
        </w:rPr>
        <w:t>’</w:t>
      </w:r>
      <w:r>
        <w:rPr>
          <w:rFonts w:hint="eastAsia"/>
          <w:color w:val="auto"/>
          <w:highlight w:val="none"/>
          <w:lang w:val="en-US" w:eastAsia="zh-CN"/>
        </w:rPr>
        <w:t>s cells and predicts PCI collision, the target donor CU may re-assign the PCI for the mobile IAB-DU</w:t>
      </w:r>
      <w:r>
        <w:rPr>
          <w:rFonts w:hint="default"/>
          <w:color w:val="auto"/>
          <w:highlight w:val="none"/>
          <w:lang w:val="en-US" w:eastAsia="zh-CN"/>
        </w:rPr>
        <w:t>’</w:t>
      </w:r>
      <w:r>
        <w:rPr>
          <w:rFonts w:hint="eastAsia"/>
          <w:color w:val="auto"/>
          <w:highlight w:val="none"/>
          <w:lang w:val="en-US" w:eastAsia="zh-CN"/>
        </w:rPr>
        <w:t xml:space="preserve">s cells and send it to source donor CU. Upon receiving the HO command from source donor CU, the mobile IAB-MT delivers the new PCI configuration of mobile IAB cells to the co-located mobile IAB-DU, which will then activate the mobile IAB cells with the new PCIs. </w:t>
      </w:r>
    </w:p>
    <w:p>
      <w:pPr>
        <w:jc w:val="both"/>
        <w:rPr>
          <w:rFonts w:hint="eastAsia"/>
          <w:lang w:val="en-US" w:eastAsia="zh-CN"/>
        </w:rPr>
      </w:pPr>
      <w:r>
        <w:rPr>
          <w:rFonts w:hint="eastAsia" w:eastAsia="等线"/>
          <w:b/>
          <w:bCs/>
          <w:lang w:val="en-US" w:eastAsia="zh-CN"/>
        </w:rPr>
        <w:t>Proposal 11: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pStyle w:val="3"/>
        <w:bidi w:val="0"/>
        <w:rPr>
          <w:rFonts w:hint="default"/>
          <w:lang w:val="en-US" w:eastAsia="zh-CN"/>
        </w:rPr>
      </w:pPr>
      <w:r>
        <w:rPr>
          <w:rFonts w:hint="eastAsia"/>
          <w:lang w:val="en-US" w:eastAsia="zh-CN"/>
        </w:rPr>
        <w:t>ANR</w:t>
      </w:r>
    </w:p>
    <w:p>
      <w:pPr>
        <w:jc w:val="both"/>
        <w:rPr>
          <w:rFonts w:hint="eastAsia" w:eastAsia="宋体"/>
          <w:lang w:val="en-US" w:eastAsia="zh-CN"/>
        </w:rPr>
      </w:pPr>
      <w:r>
        <w:rPr>
          <w:rFonts w:hint="eastAsia"/>
          <w:lang w:val="en-US" w:eastAsia="zh-CN"/>
        </w:rPr>
        <w:t>As we know, t</w:t>
      </w:r>
      <w:r>
        <w:t>he ANR function resides in the gNB</w:t>
      </w:r>
      <w:r>
        <w:rPr>
          <w:rFonts w:hint="eastAsia"/>
          <w:lang w:val="en-US" w:eastAsia="zh-CN"/>
        </w:rPr>
        <w:t>,</w:t>
      </w:r>
      <w:r>
        <w:t xml:space="preserve"> </w:t>
      </w:r>
      <w:r>
        <w:rPr>
          <w:rFonts w:hint="eastAsia"/>
          <w:lang w:val="en-US" w:eastAsia="zh-CN"/>
        </w:rPr>
        <w:t>which</w:t>
      </w:r>
      <w:r>
        <w:t xml:space="preserve"> manages the Neighbour Cell Relation Table (NCRT). </w:t>
      </w:r>
      <w:r>
        <w:rPr>
          <w:rFonts w:hint="eastAsia"/>
          <w:lang w:val="en-US" w:eastAsia="zh-CN"/>
        </w:rPr>
        <w:t xml:space="preserve">Generally speaking, the NCR may contain a list of entries for each source cell which include the </w:t>
      </w:r>
      <w:r>
        <w:t>NR CGI</w:t>
      </w:r>
      <w:r>
        <w:rPr>
          <w:rFonts w:hint="eastAsia"/>
          <w:lang w:val="en-US" w:eastAsia="zh-CN"/>
        </w:rPr>
        <w:t xml:space="preserve">, </w:t>
      </w:r>
      <w:r>
        <w:t>NR PCI</w:t>
      </w:r>
      <w:r>
        <w:rPr>
          <w:rFonts w:hint="eastAsia"/>
          <w:lang w:val="en-US" w:eastAsia="zh-CN"/>
        </w:rPr>
        <w:t xml:space="preserve"> of target cell and attributes such as Xn availability, HO, etc. </w:t>
      </w:r>
      <w:r>
        <w:t xml:space="preserve">Located within ANR, the Neighbour Detection Function finds new </w:t>
      </w:r>
      <w:r>
        <w:rPr>
          <w:rFonts w:hint="eastAsia"/>
          <w:lang w:eastAsia="zh-CN"/>
        </w:rPr>
        <w:t>neighbors</w:t>
      </w:r>
      <w:r>
        <w:t xml:space="preserve"> and adds them to the NCRT. </w:t>
      </w:r>
      <w:r>
        <w:rPr>
          <w:rFonts w:hint="eastAsia"/>
          <w:lang w:val="en-US" w:eastAsia="zh-CN"/>
        </w:rPr>
        <w:t xml:space="preserve">The gNB may obtain the NCR information via OAM configuration, neighbor information exchange via Xn setup or </w:t>
      </w:r>
      <w:r>
        <w:t>gNB Configuration Update</w:t>
      </w:r>
      <w:r>
        <w:rPr>
          <w:rFonts w:hint="eastAsia"/>
          <w:lang w:val="en-US" w:eastAsia="zh-CN"/>
        </w:rPr>
        <w:t xml:space="preserve"> procedure. In addition, gNB may request UE to use </w:t>
      </w:r>
      <w:r>
        <w:t xml:space="preserve">the newly discovered PCI as parameter, to read all the broadcast NCGI(s) /ECGI(s), TAC(s), RANAC(s), PLMN ID(s) and, for neighbour NR cells, NR frequency band(s). </w:t>
      </w:r>
      <w:r>
        <w:rPr>
          <w:rFonts w:hint="eastAsia"/>
          <w:lang w:val="en-US" w:eastAsia="zh-CN"/>
        </w:rPr>
        <w:t xml:space="preserve">Then UE report these information of neighboring NR cells to gNB. gNB may </w:t>
      </w:r>
      <w:r>
        <w:t>decide to add this neighbour relation</w:t>
      </w:r>
      <w:r>
        <w:rPr>
          <w:rFonts w:hint="eastAsia"/>
          <w:lang w:val="en-US" w:eastAsia="zh-CN"/>
        </w:rPr>
        <w:t xml:space="preserve"> to NCRT. In addition, gNB may </w:t>
      </w:r>
      <w:r>
        <w:t>use PCI and NCGI(s)</w:t>
      </w:r>
      <w:r>
        <w:rPr>
          <w:rFonts w:hint="eastAsia"/>
          <w:lang w:val="en-US" w:eastAsia="zh-CN"/>
        </w:rPr>
        <w:t xml:space="preserve"> to l</w:t>
      </w:r>
      <w:r>
        <w:t>ookup a transport layer address to the new NG-RAN node</w:t>
      </w:r>
      <w:r>
        <w:rPr>
          <w:rFonts w:hint="eastAsia"/>
          <w:lang w:val="en-US" w:eastAsia="zh-CN"/>
        </w:rPr>
        <w:t xml:space="preserve"> and </w:t>
      </w:r>
      <w:r>
        <w:t>setup a new Xn interface towards this NG-RAN node</w:t>
      </w:r>
      <w:r>
        <w:rPr>
          <w:rFonts w:hint="eastAsia"/>
          <w:lang w:val="en-US" w:eastAsia="zh-CN"/>
        </w:rPr>
        <w:t>.</w:t>
      </w:r>
    </w:p>
    <w:p>
      <w:pPr>
        <w:jc w:val="both"/>
        <w:rPr>
          <w:rFonts w:hint="eastAsia"/>
          <w:lang w:val="en-US" w:eastAsia="zh-CN"/>
        </w:rPr>
      </w:pPr>
      <w:r>
        <w:rPr>
          <w:rFonts w:hint="eastAsia"/>
          <w:lang w:val="en-US" w:eastAsia="zh-CN"/>
        </w:rPr>
        <w:t xml:space="preserve">When it comes to the mobile IAB scenario, the mobile IAB node may notify the cells information to donor CU via F1 interface once the mobile IAB node MT has connected or handover to donor CU. This donor CU may then notify the neighbor gNB with the updated served cell info via Xn interface. For the other neighbor gNB which has no Xn interface with donor CU, the UE may detect the PCI of mobile IAB cells and report to the neighbor gNB. </w:t>
      </w:r>
    </w:p>
    <w:p>
      <w:pPr>
        <w:jc w:val="both"/>
        <w:rPr>
          <w:rFonts w:hint="default" w:eastAsia="宋体"/>
          <w:lang w:val="en-US" w:eastAsia="zh-CN"/>
        </w:rPr>
      </w:pPr>
      <w:r>
        <w:rPr>
          <w:rFonts w:hint="eastAsia"/>
          <w:lang w:val="en-US" w:eastAsia="zh-CN"/>
        </w:rPr>
        <w:t>As a matter of fact, it is not recommended for the surrounding UE served by stationary neighboring cells to HO to the mobile IAB cells. Therefore it is also not necessary to add the mobile IAB cells to the neighboring gNB</w:t>
      </w:r>
      <w:r>
        <w:rPr>
          <w:rFonts w:hint="default"/>
          <w:lang w:val="en-US" w:eastAsia="zh-CN"/>
        </w:rPr>
        <w:t>’</w:t>
      </w:r>
      <w:r>
        <w:rPr>
          <w:rFonts w:hint="eastAsia"/>
          <w:lang w:val="en-US" w:eastAsia="zh-CN"/>
        </w:rPr>
        <w:t xml:space="preserve">s NCRT. </w:t>
      </w:r>
      <w:r>
        <w:rPr>
          <w:rFonts w:hint="eastAsia"/>
          <w:highlight w:val="none"/>
          <w:lang w:val="en-US" w:eastAsia="zh-CN"/>
        </w:rPr>
        <w:t xml:space="preserve">To support this, when UE report the mobile IAB indication together with other </w:t>
      </w:r>
      <w:r>
        <w:rPr>
          <w:highlight w:val="none"/>
        </w:rPr>
        <w:t>NCGI(s) /ECGI(s), TAC(s), RANAC(s), PLMN ID(s) and, NR frequency band(s)</w:t>
      </w:r>
      <w:r>
        <w:rPr>
          <w:rFonts w:hint="eastAsia"/>
          <w:highlight w:val="none"/>
          <w:lang w:val="en-US" w:eastAsia="zh-CN"/>
        </w:rPr>
        <w:t xml:space="preserve"> information. Based on this information, the neighboring gNB decides not to add the entry for mobile IAB cells into the NCRT. </w:t>
      </w:r>
    </w:p>
    <w:p>
      <w:pPr>
        <w:jc w:val="both"/>
        <w:rPr>
          <w:rFonts w:hint="eastAsia"/>
          <w:b/>
          <w:bCs/>
          <w:sz w:val="20"/>
          <w:szCs w:val="20"/>
          <w:lang w:val="en-US" w:eastAsia="zh-CN"/>
        </w:rPr>
      </w:pPr>
      <w:r>
        <w:rPr>
          <w:rFonts w:hint="eastAsia"/>
          <w:b/>
          <w:bCs/>
          <w:lang w:val="en-US" w:eastAsia="zh-CN"/>
        </w:rPr>
        <w:t xml:space="preserve">Proposal 12: To avoid stationary neighboring gNB to add the mobile IAB cells into NCRT, it is suggested </w:t>
      </w:r>
      <w:r>
        <w:rPr>
          <w:rFonts w:hint="eastAsia"/>
          <w:b/>
          <w:bCs/>
          <w:highlight w:val="none"/>
          <w:lang w:val="en-US" w:eastAsia="zh-CN"/>
        </w:rPr>
        <w:t xml:space="preserve">UE indicates to gNB that the cell is for mobile IAB when UE is requested to report more information for a PCI associated with mobile IAB cell. </w:t>
      </w:r>
    </w:p>
    <w:bookmarkEnd w:id="0"/>
    <w:p>
      <w:pPr>
        <w:pStyle w:val="2"/>
        <w:jc w:val="both"/>
        <w:rPr>
          <w:rFonts w:eastAsia="宋体"/>
          <w:lang w:eastAsia="zh-CN"/>
        </w:rPr>
      </w:pPr>
      <w:bookmarkStart w:id="1" w:name="OLE_LINK1"/>
      <w:bookmarkStart w:id="2" w:name="OLE_LINK2"/>
      <w:r>
        <w:rPr>
          <w:rFonts w:hint="eastAsia" w:eastAsia="宋体"/>
          <w:lang w:eastAsia="zh-CN"/>
        </w:rPr>
        <w:t>Conclusion</w:t>
      </w:r>
    </w:p>
    <w:bookmarkEnd w:id="1"/>
    <w:bookmarkEnd w:id="2"/>
    <w:p>
      <w:pPr>
        <w:overflowPunct w:val="0"/>
        <w:autoSpaceDE w:val="0"/>
        <w:autoSpaceDN w:val="0"/>
        <w:adjustRightInd w:val="0"/>
        <w:spacing w:before="156" w:beforeLines="50"/>
        <w:jc w:val="both"/>
        <w:rPr>
          <w:lang w:val="en-US" w:eastAsia="zh-CN"/>
        </w:rPr>
      </w:pPr>
      <w:r>
        <w:rPr>
          <w:lang w:val="en-US" w:eastAsia="zh-CN"/>
        </w:rPr>
        <w:t xml:space="preserve">In this contribution, </w:t>
      </w:r>
      <w:r>
        <w:rPr>
          <w:rFonts w:hint="eastAsia"/>
          <w:lang w:val="en-US" w:eastAsia="zh-CN"/>
        </w:rPr>
        <w:t>we focus on the remaining issues for mobile IAB and present our point of view</w:t>
      </w:r>
      <w:r>
        <w:rPr>
          <w:lang w:val="en-US" w:eastAsia="zh-CN"/>
        </w:rPr>
        <w:t>.</w:t>
      </w:r>
      <w:r>
        <w:rPr>
          <w:rFonts w:hint="eastAsia"/>
          <w:lang w:val="en-US" w:eastAsia="zh-CN"/>
        </w:rPr>
        <w:t xml:space="preserve"> The following proposals are given:</w:t>
      </w:r>
    </w:p>
    <w:p>
      <w:pPr>
        <w:numPr>
          <w:ilvl w:val="-1"/>
          <w:numId w:val="0"/>
        </w:numPr>
        <w:tabs>
          <w:tab w:val="left" w:pos="1619"/>
        </w:tabs>
        <w:spacing w:after="0" w:line="240" w:lineRule="auto"/>
        <w:ind w:left="0" w:firstLine="0"/>
        <w:contextualSpacing w:val="0"/>
        <w:jc w:val="both"/>
        <w:rPr>
          <w:rFonts w:hint="eastAsia"/>
          <w:b/>
          <w:lang w:val="en-US" w:eastAsia="zh-CN"/>
        </w:rPr>
      </w:pPr>
      <w:r>
        <w:rPr>
          <w:rFonts w:hint="eastAsia" w:cs="Arial"/>
          <w:b/>
          <w:bCs w:val="0"/>
          <w:szCs w:val="20"/>
          <w:lang w:val="en-US" w:eastAsia="zh-CN"/>
        </w:rPr>
        <w:t xml:space="preserve">Proposal 1: </w:t>
      </w:r>
      <w:r>
        <w:rPr>
          <w:rFonts w:hint="eastAsia"/>
          <w:b/>
          <w:lang w:val="en-US" w:eastAsia="zh-CN"/>
        </w:rPr>
        <w:t xml:space="preserve">From the perspective of capability, mobile IAB-node should support both </w:t>
      </w:r>
      <w:r>
        <w:rPr>
          <w:b/>
        </w:rPr>
        <w:t>Rel-18 mobile IAB and Rel-16/17 IAB</w:t>
      </w:r>
      <w:r>
        <w:rPr>
          <w:rFonts w:hint="eastAsia"/>
          <w:b/>
          <w:lang w:val="en-US" w:eastAsia="zh-CN"/>
        </w:rPr>
        <w:t xml:space="preserve">. </w:t>
      </w:r>
    </w:p>
    <w:p>
      <w:pPr>
        <w:numPr>
          <w:ilvl w:val="-1"/>
          <w:numId w:val="0"/>
        </w:numPr>
        <w:tabs>
          <w:tab w:val="left" w:pos="1619"/>
        </w:tabs>
        <w:spacing w:before="157" w:beforeLines="50" w:after="0"/>
        <w:ind w:left="0" w:firstLine="0"/>
        <w:jc w:val="both"/>
        <w:rPr>
          <w:rFonts w:hint="eastAsia"/>
          <w:b/>
          <w:bCs/>
          <w:szCs w:val="20"/>
          <w:lang w:val="en-US" w:eastAsia="zh-CN"/>
        </w:rPr>
      </w:pPr>
      <w:r>
        <w:rPr>
          <w:rFonts w:hint="eastAsia"/>
          <w:b/>
          <w:bCs/>
          <w:lang w:val="en-US" w:eastAsia="zh-CN"/>
        </w:rPr>
        <w:t xml:space="preserve">Proposal 2: For the </w:t>
      </w:r>
      <w:r>
        <w:rPr>
          <w:b/>
          <w:bCs/>
          <w:szCs w:val="20"/>
        </w:rPr>
        <w:t>Rel-18 Mobile IAB capable parent cell</w:t>
      </w:r>
      <w:r>
        <w:rPr>
          <w:rFonts w:hint="eastAsia"/>
          <w:b/>
          <w:bCs/>
          <w:szCs w:val="20"/>
          <w:lang w:val="en-US" w:eastAsia="zh-CN"/>
        </w:rPr>
        <w:t>, it should also support the access of Rel-16/17 IAB  considering that Rel-18 mobile IAB is actually a further enhancement of Rel-16/17 IAB.</w:t>
      </w:r>
    </w:p>
    <w:p>
      <w:pPr>
        <w:numPr>
          <w:ilvl w:val="-1"/>
          <w:numId w:val="0"/>
        </w:numPr>
        <w:tabs>
          <w:tab w:val="left" w:pos="1619"/>
        </w:tabs>
        <w:spacing w:before="157" w:beforeLines="50" w:after="0"/>
        <w:ind w:left="0" w:firstLine="0"/>
        <w:jc w:val="both"/>
        <w:rPr>
          <w:rFonts w:hint="eastAsia"/>
          <w:b/>
          <w:lang w:val="en-US" w:eastAsia="zh-CN"/>
        </w:rPr>
      </w:pPr>
      <w:r>
        <w:rPr>
          <w:rFonts w:hint="eastAsia" w:cs="Arial"/>
          <w:b/>
          <w:bCs w:val="0"/>
          <w:szCs w:val="20"/>
          <w:lang w:val="en-US" w:eastAsia="zh-CN"/>
        </w:rPr>
        <w:t xml:space="preserve">Proposal 3: </w:t>
      </w:r>
      <w:r>
        <w:rPr>
          <w:rFonts w:hint="eastAsia"/>
          <w:b/>
          <w:lang w:val="en-US" w:eastAsia="zh-CN"/>
        </w:rPr>
        <w:t>From the perspective of capability, donor CU may be divided into three categories: 1) not support Rel-16/17/18 IAB; 2) o</w:t>
      </w:r>
      <w:r>
        <w:rPr>
          <w:b/>
        </w:rPr>
        <w:t>nly support Rel-16/17 IAB</w:t>
      </w:r>
      <w:r>
        <w:rPr>
          <w:rFonts w:hint="eastAsia"/>
          <w:b/>
          <w:lang w:val="en-US" w:eastAsia="zh-CN"/>
        </w:rPr>
        <w:t>; 2) s</w:t>
      </w:r>
      <w:r>
        <w:rPr>
          <w:b/>
        </w:rPr>
        <w:t>upport both Rel-18 mobile IAB and Rel-16/17 IAB</w:t>
      </w:r>
      <w:r>
        <w:rPr>
          <w:rFonts w:hint="eastAsia"/>
          <w:b/>
          <w:lang w:val="en-US" w:eastAsia="zh-CN"/>
        </w:rPr>
        <w:t xml:space="preserve">. </w:t>
      </w:r>
    </w:p>
    <w:p>
      <w:pPr>
        <w:spacing w:before="157" w:beforeLines="50"/>
        <w:jc w:val="both"/>
        <w:rPr>
          <w:rFonts w:hint="default"/>
          <w:b/>
          <w:bCs w:val="0"/>
          <w:szCs w:val="20"/>
          <w:vertAlign w:val="baseline"/>
          <w:lang w:val="en-US" w:eastAsia="zh-CN"/>
        </w:rPr>
      </w:pPr>
      <w:r>
        <w:rPr>
          <w:rFonts w:hint="eastAsia"/>
          <w:b/>
          <w:bCs w:val="0"/>
          <w:szCs w:val="20"/>
          <w:vertAlign w:val="baseline"/>
          <w:lang w:val="en-US" w:eastAsia="zh-CN"/>
        </w:rPr>
        <w:t xml:space="preserve">Proposal 4: The </w:t>
      </w:r>
      <w:r>
        <w:rPr>
          <w:b/>
          <w:bCs w:val="0"/>
          <w:szCs w:val="20"/>
        </w:rPr>
        <w:t>"mobile-IAB</w:t>
      </w:r>
      <w:r>
        <w:rPr>
          <w:rFonts w:hint="eastAsia"/>
          <w:b/>
          <w:bCs w:val="0"/>
          <w:szCs w:val="20"/>
          <w:lang w:val="en-US" w:eastAsia="zh-CN"/>
        </w:rPr>
        <w:t xml:space="preserve"> supported</w:t>
      </w:r>
      <w:r>
        <w:rPr>
          <w:b/>
          <w:bCs w:val="0"/>
          <w:szCs w:val="20"/>
        </w:rPr>
        <w:t xml:space="preserve">" </w:t>
      </w:r>
      <w:r>
        <w:rPr>
          <w:rFonts w:hint="eastAsia"/>
          <w:b/>
          <w:bCs w:val="0"/>
          <w:szCs w:val="20"/>
          <w:lang w:val="en-US" w:eastAsia="zh-CN"/>
        </w:rPr>
        <w:t xml:space="preserve">indication broadcast by the </w:t>
      </w:r>
      <w:r>
        <w:rPr>
          <w:b/>
          <w:bCs w:val="0"/>
          <w:szCs w:val="20"/>
        </w:rPr>
        <w:t xml:space="preserve">Rel-18 </w:t>
      </w:r>
      <w:r>
        <w:rPr>
          <w:rFonts w:hint="eastAsia"/>
          <w:b/>
          <w:bCs w:val="0"/>
          <w:szCs w:val="20"/>
          <w:lang w:val="en-US" w:eastAsia="zh-CN"/>
        </w:rPr>
        <w:t>m</w:t>
      </w:r>
      <w:r>
        <w:rPr>
          <w:b/>
          <w:bCs w:val="0"/>
          <w:szCs w:val="20"/>
        </w:rPr>
        <w:t>obile IAB capable parent cell</w:t>
      </w:r>
      <w:r>
        <w:rPr>
          <w:rFonts w:hint="eastAsia"/>
          <w:b/>
          <w:bCs w:val="0"/>
          <w:szCs w:val="20"/>
          <w:lang w:val="en-US" w:eastAsia="zh-CN"/>
        </w:rPr>
        <w:t xml:space="preserve"> can be used for the mobile IAB functionality support indication as well as for the access control purpose.</w:t>
      </w:r>
    </w:p>
    <w:p>
      <w:pPr>
        <w:spacing w:before="157" w:beforeLines="50"/>
        <w:jc w:val="both"/>
        <w:rPr>
          <w:rFonts w:hint="eastAsia"/>
          <w:b/>
          <w:bCs w:val="0"/>
          <w:szCs w:val="20"/>
          <w:lang w:val="en-US" w:eastAsia="zh-CN"/>
        </w:rPr>
      </w:pPr>
      <w:r>
        <w:rPr>
          <w:rFonts w:hint="eastAsia"/>
          <w:b/>
          <w:bCs w:val="0"/>
          <w:szCs w:val="20"/>
          <w:lang w:val="en-US" w:eastAsia="zh-CN"/>
        </w:rPr>
        <w:t xml:space="preserve">Proposal 5: For the </w:t>
      </w:r>
      <w:r>
        <w:rPr>
          <w:b/>
          <w:bCs w:val="0"/>
          <w:szCs w:val="20"/>
        </w:rPr>
        <w:t>Rel-18 Mobile IAB capable parent cell</w:t>
      </w:r>
      <w:r>
        <w:rPr>
          <w:rFonts w:hint="eastAsia"/>
          <w:b/>
          <w:bCs w:val="0"/>
          <w:szCs w:val="20"/>
          <w:lang w:val="en-US" w:eastAsia="zh-CN"/>
        </w:rPr>
        <w:t xml:space="preserve">, it controls the presence of </w:t>
      </w:r>
      <w:r>
        <w:rPr>
          <w:rFonts w:hint="default"/>
          <w:b/>
          <w:bCs w:val="0"/>
          <w:lang w:val="en-US" w:eastAsia="zh-CN"/>
        </w:rPr>
        <w:t>“</w:t>
      </w:r>
      <w:r>
        <w:rPr>
          <w:rFonts w:hint="eastAsia"/>
          <w:b/>
          <w:bCs w:val="0"/>
          <w:lang w:val="en-US" w:eastAsia="zh-CN"/>
        </w:rPr>
        <w:t>IAB supported</w:t>
      </w:r>
      <w:r>
        <w:rPr>
          <w:rFonts w:hint="default"/>
          <w:b/>
          <w:bCs w:val="0"/>
          <w:lang w:val="en-US" w:eastAsia="zh-CN"/>
        </w:rPr>
        <w:t>”</w:t>
      </w:r>
      <w:r>
        <w:rPr>
          <w:rFonts w:hint="eastAsia"/>
          <w:b/>
          <w:bCs w:val="0"/>
          <w:lang w:val="en-US" w:eastAsia="zh-CN"/>
        </w:rPr>
        <w:t xml:space="preserve"> and </w:t>
      </w:r>
      <w:r>
        <w:rPr>
          <w:b/>
          <w:bCs w:val="0"/>
          <w:szCs w:val="20"/>
        </w:rPr>
        <w:t>"mobile-IAB</w:t>
      </w:r>
      <w:r>
        <w:rPr>
          <w:rFonts w:hint="eastAsia"/>
          <w:b/>
          <w:bCs w:val="0"/>
          <w:szCs w:val="20"/>
          <w:lang w:val="en-US" w:eastAsia="zh-CN"/>
        </w:rPr>
        <w:t xml:space="preserve"> supported</w:t>
      </w:r>
      <w:r>
        <w:rPr>
          <w:b/>
          <w:bCs w:val="0"/>
          <w:szCs w:val="20"/>
        </w:rPr>
        <w:t>" indication</w:t>
      </w:r>
      <w:r>
        <w:rPr>
          <w:rFonts w:hint="eastAsia"/>
          <w:b/>
          <w:bCs w:val="0"/>
          <w:szCs w:val="20"/>
          <w:lang w:val="en-US" w:eastAsia="zh-CN"/>
        </w:rPr>
        <w:t xml:space="preserve"> independently. </w:t>
      </w:r>
    </w:p>
    <w:p>
      <w:pPr>
        <w:jc w:val="both"/>
        <w:rPr>
          <w:rFonts w:hint="eastAsia"/>
          <w:b/>
          <w:bCs w:val="0"/>
          <w:szCs w:val="20"/>
          <w:vertAlign w:val="baseline"/>
          <w:lang w:val="en-US" w:eastAsia="zh-CN"/>
        </w:rPr>
      </w:pPr>
      <w:r>
        <w:rPr>
          <w:rFonts w:hint="eastAsia"/>
          <w:b/>
          <w:bCs w:val="0"/>
          <w:szCs w:val="20"/>
          <w:lang w:val="en-US" w:eastAsia="zh-CN"/>
        </w:rPr>
        <w:t xml:space="preserve">Proposal 6: </w:t>
      </w:r>
      <w:r>
        <w:rPr>
          <w:rFonts w:hint="eastAsia"/>
          <w:b/>
          <w:bCs w:val="0"/>
          <w:szCs w:val="20"/>
          <w:vertAlign w:val="baseline"/>
          <w:lang w:val="en-US" w:eastAsia="zh-CN"/>
        </w:rPr>
        <w:t xml:space="preserve">When Rel-18 mobile IAB node connects to a parent cell that broadcasts </w:t>
      </w:r>
      <w:r>
        <w:rPr>
          <w:rFonts w:hint="default"/>
          <w:b/>
          <w:bCs w:val="0"/>
          <w:szCs w:val="20"/>
          <w:vertAlign w:val="baseline"/>
          <w:lang w:val="en-US" w:eastAsia="zh-CN"/>
        </w:rPr>
        <w:t>“</w:t>
      </w:r>
      <w:r>
        <w:rPr>
          <w:rFonts w:hint="eastAsia"/>
          <w:b/>
          <w:bCs w:val="0"/>
          <w:szCs w:val="20"/>
          <w:vertAlign w:val="baseline"/>
          <w:lang w:val="en-US" w:eastAsia="zh-CN"/>
        </w:rPr>
        <w:t>mobile IAB supported</w:t>
      </w:r>
      <w:r>
        <w:rPr>
          <w:rFonts w:hint="default"/>
          <w:b/>
          <w:bCs w:val="0"/>
          <w:szCs w:val="20"/>
          <w:vertAlign w:val="baseline"/>
          <w:lang w:val="en-US" w:eastAsia="zh-CN"/>
        </w:rPr>
        <w:t>”</w:t>
      </w:r>
      <w:r>
        <w:rPr>
          <w:rFonts w:hint="eastAsia"/>
          <w:b/>
          <w:bCs w:val="0"/>
          <w:szCs w:val="20"/>
          <w:vertAlign w:val="baseline"/>
          <w:lang w:val="en-US" w:eastAsia="zh-CN"/>
        </w:rPr>
        <w:t xml:space="preserve"> , it includes the </w:t>
      </w:r>
      <w:r>
        <w:rPr>
          <w:rFonts w:hint="default"/>
          <w:b/>
          <w:bCs w:val="0"/>
          <w:szCs w:val="20"/>
          <w:vertAlign w:val="baseline"/>
          <w:lang w:val="en-US" w:eastAsia="zh-CN"/>
        </w:rPr>
        <w:t>“</w:t>
      </w:r>
      <w:r>
        <w:rPr>
          <w:rFonts w:hint="eastAsia"/>
          <w:b/>
          <w:bCs w:val="0"/>
          <w:szCs w:val="20"/>
          <w:vertAlign w:val="baseline"/>
          <w:lang w:val="en-US" w:eastAsia="zh-CN"/>
        </w:rPr>
        <w:t>mobile IAB-node indication</w:t>
      </w:r>
      <w:r>
        <w:rPr>
          <w:rFonts w:hint="default"/>
          <w:b/>
          <w:bCs w:val="0"/>
          <w:szCs w:val="20"/>
          <w:vertAlign w:val="baseline"/>
          <w:lang w:val="en-US" w:eastAsia="zh-CN"/>
        </w:rPr>
        <w:t>”</w:t>
      </w:r>
      <w:r>
        <w:rPr>
          <w:rFonts w:hint="eastAsia"/>
          <w:b/>
          <w:bCs w:val="0"/>
          <w:szCs w:val="20"/>
          <w:vertAlign w:val="baseline"/>
          <w:lang w:val="en-US" w:eastAsia="zh-CN"/>
        </w:rPr>
        <w:t xml:space="preserve"> in the MSG. 5.</w:t>
      </w:r>
    </w:p>
    <w:p>
      <w:pPr>
        <w:jc w:val="both"/>
        <w:rPr>
          <w:rFonts w:hint="eastAsia"/>
          <w:b/>
          <w:bCs w:val="0"/>
          <w:szCs w:val="20"/>
          <w:vertAlign w:val="baseline"/>
          <w:lang w:val="en-US" w:eastAsia="zh-CN"/>
        </w:rPr>
      </w:pPr>
      <w:r>
        <w:rPr>
          <w:rFonts w:hint="eastAsia"/>
          <w:b/>
          <w:bCs w:val="0"/>
          <w:szCs w:val="20"/>
          <w:vertAlign w:val="baseline"/>
          <w:lang w:val="en-US" w:eastAsia="zh-CN"/>
        </w:rPr>
        <w:t xml:space="preserve">Proposal 7: When Rel-18 mobile IAB node acting as Rel-16/17 IAB connects to a parent cell that broadcasts </w:t>
      </w:r>
      <w:r>
        <w:rPr>
          <w:rFonts w:hint="default"/>
          <w:b/>
          <w:bCs w:val="0"/>
          <w:szCs w:val="20"/>
          <w:vertAlign w:val="baseline"/>
          <w:lang w:val="en-US" w:eastAsia="zh-CN"/>
        </w:rPr>
        <w:t>“</w:t>
      </w:r>
      <w:r>
        <w:rPr>
          <w:rFonts w:hint="eastAsia"/>
          <w:b/>
          <w:bCs w:val="0"/>
          <w:szCs w:val="20"/>
          <w:vertAlign w:val="baseline"/>
          <w:lang w:val="en-US" w:eastAsia="zh-CN"/>
        </w:rPr>
        <w:t>IAB supported</w:t>
      </w:r>
      <w:r>
        <w:rPr>
          <w:rFonts w:hint="default"/>
          <w:b/>
          <w:bCs w:val="0"/>
          <w:szCs w:val="20"/>
          <w:vertAlign w:val="baseline"/>
          <w:lang w:val="en-US" w:eastAsia="zh-CN"/>
        </w:rPr>
        <w:t>”</w:t>
      </w:r>
      <w:r>
        <w:rPr>
          <w:rFonts w:hint="eastAsia"/>
          <w:b/>
          <w:bCs w:val="0"/>
          <w:szCs w:val="20"/>
          <w:vertAlign w:val="baseline"/>
          <w:lang w:val="en-US" w:eastAsia="zh-CN"/>
        </w:rPr>
        <w:t xml:space="preserve">, it includes the </w:t>
      </w:r>
      <w:r>
        <w:rPr>
          <w:b/>
          <w:bCs w:val="0"/>
        </w:rPr>
        <w:t>“IAB-node indication” in MSG</w:t>
      </w:r>
      <w:r>
        <w:rPr>
          <w:rFonts w:hint="eastAsia"/>
          <w:b/>
          <w:bCs w:val="0"/>
          <w:lang w:val="en-US" w:eastAsia="zh-CN"/>
        </w:rPr>
        <w:t xml:space="preserve">. </w:t>
      </w:r>
      <w:r>
        <w:rPr>
          <w:b/>
          <w:bCs w:val="0"/>
        </w:rPr>
        <w:t>5</w:t>
      </w:r>
      <w:r>
        <w:rPr>
          <w:rFonts w:hint="eastAsia"/>
          <w:b/>
          <w:bCs w:val="0"/>
          <w:szCs w:val="20"/>
          <w:vertAlign w:val="baseline"/>
          <w:lang w:val="en-US" w:eastAsia="zh-CN"/>
        </w:rPr>
        <w:t xml:space="preserve">. </w:t>
      </w:r>
    </w:p>
    <w:p>
      <w:pPr>
        <w:jc w:val="both"/>
        <w:rPr>
          <w:rFonts w:hint="eastAsia"/>
          <w:b/>
          <w:bCs w:val="0"/>
          <w:szCs w:val="20"/>
          <w:vertAlign w:val="baseline"/>
          <w:lang w:val="en-US" w:eastAsia="zh-CN"/>
        </w:rPr>
      </w:pPr>
      <w:r>
        <w:rPr>
          <w:rFonts w:hint="eastAsia"/>
          <w:b/>
          <w:bCs w:val="0"/>
          <w:szCs w:val="20"/>
          <w:vertAlign w:val="baseline"/>
          <w:lang w:val="en-US" w:eastAsia="zh-CN"/>
        </w:rPr>
        <w:t>Proposal 8: For the UE capability report,  Rel-18 mobile IAB node may indicate both the IAB and mobile IAB relevant capabilities.</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eastAsia="等线"/>
          <w:b/>
          <w:bCs/>
          <w:sz w:val="20"/>
          <w:szCs w:val="20"/>
          <w:lang w:val="en-US" w:eastAsia="zh-CN"/>
        </w:rPr>
      </w:pPr>
      <w:r>
        <w:rPr>
          <w:rFonts w:hint="eastAsia" w:eastAsia="等线"/>
          <w:b/>
          <w:bCs/>
          <w:sz w:val="20"/>
          <w:szCs w:val="20"/>
          <w:lang w:val="en-US" w:eastAsia="zh-CN"/>
        </w:rPr>
        <w:t>Proposal 9: I</w:t>
      </w:r>
      <w:r>
        <w:rPr>
          <w:rFonts w:hint="eastAsia" w:cs="Times New Roman"/>
          <w:b/>
          <w:bCs/>
          <w:color w:val="auto"/>
          <w:sz w:val="20"/>
          <w:szCs w:val="20"/>
          <w:lang w:val="en-US" w:eastAsia="zh-CN"/>
        </w:rPr>
        <w:t xml:space="preserve">f the BAP running CR plan to mention single mapping table and separate two mapping tables implementation, it would be better to further clarify that the </w:t>
      </w:r>
      <w:r>
        <w:rPr>
          <w:rFonts w:eastAsia="等线"/>
          <w:b/>
          <w:bCs/>
          <w:color w:val="auto"/>
          <w:lang w:eastAsia="zh-CN"/>
        </w:rPr>
        <w:t>“</w:t>
      </w:r>
      <w:r>
        <w:rPr>
          <w:rFonts w:eastAsia="PMingLiU"/>
          <w:b/>
          <w:bCs/>
          <w:color w:val="auto"/>
          <w:lang w:eastAsia="zh-TW"/>
        </w:rPr>
        <w:t>multiple entries for F1-C/non-F1”</w:t>
      </w:r>
      <w:r>
        <w:rPr>
          <w:rFonts w:hint="eastAsia" w:cs="Times New Roman"/>
          <w:b/>
          <w:bCs/>
          <w:color w:val="auto"/>
          <w:sz w:val="20"/>
          <w:szCs w:val="20"/>
          <w:lang w:val="en-US" w:eastAsia="zh-CN"/>
        </w:rPr>
        <w:t xml:space="preserve"> only happen for single mapping table implementation. Otherwise, it is suggested to remove both notes</w:t>
      </w:r>
      <w:r>
        <w:rPr>
          <w:rFonts w:hint="eastAsia" w:eastAsia="等线"/>
          <w:b/>
          <w:bCs/>
          <w:sz w:val="20"/>
          <w:szCs w:val="20"/>
          <w:lang w:val="en-US" w:eastAsia="zh-CN"/>
        </w:rPr>
        <w:t>.</w:t>
      </w:r>
    </w:p>
    <w:p>
      <w:pPr>
        <w:jc w:val="both"/>
        <w:rPr>
          <w:rFonts w:hint="eastAsia"/>
          <w:b/>
          <w:bCs/>
          <w:sz w:val="20"/>
          <w:szCs w:val="20"/>
          <w:lang w:val="en-US" w:eastAsia="zh-CN"/>
        </w:rPr>
      </w:pPr>
      <w:r>
        <w:rPr>
          <w:rFonts w:hint="eastAsia"/>
          <w:b/>
          <w:bCs/>
          <w:sz w:val="20"/>
          <w:szCs w:val="20"/>
          <w:lang w:val="en-US" w:eastAsia="zh-CN"/>
        </w:rPr>
        <w:t>Proposal 10: For the RNA configuration via a list of NCGIs, in order to reduce unnecessary RNAU, the  RRC_INACTIVE UE may be notified of the NCGI change of the cells of mobile IAB-node-DU and UE then replace the old NCGI with new NCGI of mobile IAB-node-DU</w:t>
      </w:r>
      <w:r>
        <w:rPr>
          <w:b/>
          <w:bCs/>
          <w:sz w:val="20"/>
          <w:szCs w:val="20"/>
          <w:lang w:val="en-US" w:eastAsia="zh-CN"/>
        </w:rPr>
        <w:t>’</w:t>
      </w:r>
      <w:r>
        <w:rPr>
          <w:rFonts w:hint="eastAsia"/>
          <w:b/>
          <w:bCs/>
          <w:sz w:val="20"/>
          <w:szCs w:val="20"/>
          <w:lang w:val="en-US" w:eastAsia="zh-CN"/>
        </w:rPr>
        <w:t>s cell for the cells included in the RNA configuration.</w:t>
      </w:r>
    </w:p>
    <w:p>
      <w:pPr>
        <w:jc w:val="both"/>
        <w:rPr>
          <w:rFonts w:hint="eastAsia" w:eastAsia="等线"/>
          <w:b/>
          <w:bCs/>
          <w:lang w:val="en-US" w:eastAsia="zh-CN"/>
        </w:rPr>
      </w:pPr>
      <w:r>
        <w:rPr>
          <w:rFonts w:hint="eastAsia" w:eastAsia="等线"/>
          <w:b/>
          <w:bCs/>
          <w:lang w:val="en-US" w:eastAsia="zh-CN"/>
        </w:rPr>
        <w:t>Proposal 11: RAN2 to consider the PCI re-assignment for mobile IAB-DU</w:t>
      </w:r>
      <w:r>
        <w:rPr>
          <w:rFonts w:hint="default" w:eastAsia="等线"/>
          <w:b/>
          <w:bCs/>
          <w:lang w:val="en-US" w:eastAsia="zh-CN"/>
        </w:rPr>
        <w:t>’</w:t>
      </w:r>
      <w:r>
        <w:rPr>
          <w:rFonts w:hint="eastAsia" w:eastAsia="等线"/>
          <w:b/>
          <w:bCs/>
          <w:lang w:val="en-US" w:eastAsia="zh-CN"/>
        </w:rPr>
        <w:t>s cell during the HO preparation phase of co-located mobile IAB-MT.</w:t>
      </w:r>
    </w:p>
    <w:p>
      <w:pPr>
        <w:numPr>
          <w:ilvl w:val="0"/>
          <w:numId w:val="0"/>
        </w:numPr>
        <w:tabs>
          <w:tab w:val="left" w:pos="1619"/>
        </w:tabs>
        <w:spacing w:after="0"/>
        <w:jc w:val="both"/>
        <w:rPr>
          <w:rFonts w:hint="eastAsia"/>
          <w:b/>
          <w:bCs/>
          <w:sz w:val="20"/>
          <w:szCs w:val="20"/>
          <w:lang w:val="en-US" w:eastAsia="zh-CN"/>
        </w:rPr>
      </w:pPr>
      <w:r>
        <w:rPr>
          <w:rFonts w:hint="eastAsia"/>
          <w:b/>
          <w:bCs/>
          <w:lang w:val="en-US" w:eastAsia="zh-CN"/>
        </w:rPr>
        <w:t xml:space="preserve">Proposal 12: To avoid stationary neighboring gNB to add the mobile IAB cells into NCRT, it is suggested </w:t>
      </w:r>
      <w:r>
        <w:rPr>
          <w:rFonts w:hint="eastAsia"/>
          <w:b/>
          <w:bCs/>
          <w:highlight w:val="none"/>
          <w:lang w:val="en-US" w:eastAsia="zh-CN"/>
        </w:rPr>
        <w:t>UE indicates to gNB that the cell is for mobile IAB when UE is requested to report more information for a PCI associated with mobile IAB cell.</w:t>
      </w:r>
    </w:p>
    <w:p>
      <w:pPr>
        <w:pStyle w:val="2"/>
        <w:rPr>
          <w:rFonts w:eastAsia="宋体"/>
          <w:lang w:eastAsia="zh-CN"/>
        </w:rPr>
      </w:pPr>
      <w:r>
        <w:rPr>
          <w:rFonts w:hint="eastAsia" w:eastAsia="宋体"/>
          <w:lang w:eastAsia="zh-CN"/>
        </w:rPr>
        <w:t>Reference</w:t>
      </w:r>
    </w:p>
    <w:p>
      <w:pPr>
        <w:numPr>
          <w:ilvl w:val="0"/>
          <w:numId w:val="13"/>
        </w:numPr>
        <w:rPr>
          <w:lang w:val="en-US" w:eastAsia="zh-CN"/>
        </w:rPr>
      </w:pPr>
      <w:r>
        <w:rPr>
          <w:rFonts w:hint="eastAsia"/>
          <w:lang w:val="en-US" w:eastAsia="zh-CN"/>
        </w:rPr>
        <w:t>RAN2#1</w:t>
      </w:r>
      <w:r>
        <w:rPr>
          <w:lang w:val="en-US" w:eastAsia="zh-CN"/>
        </w:rPr>
        <w:t>2</w:t>
      </w:r>
      <w:r>
        <w:rPr>
          <w:rFonts w:hint="eastAsia"/>
          <w:lang w:val="en-US" w:eastAsia="zh-CN"/>
        </w:rPr>
        <w:t>3 Chairman notes.</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504020202020204"/>
    <w:charset w:val="00"/>
    <w:family w:val="swiss"/>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0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000247B" w:usb2="00000009" w:usb3="00000000" w:csb0="200001FF" w:csb1="00000000"/>
  </w:font>
  <w:font w:name="PMingLiU">
    <w:panose1 w:val="02020500000000000000"/>
    <w:charset w:val="88"/>
    <w:family w:val="auto"/>
    <w:pitch w:val="default"/>
    <w:sig w:usb0="A00002FF" w:usb1="28CFFCFA"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4212C9"/>
    <w:multiLevelType w:val="singleLevel"/>
    <w:tmpl w:val="944212C9"/>
    <w:lvl w:ilvl="0" w:tentative="0">
      <w:start w:val="1"/>
      <w:numFmt w:val="decimal"/>
      <w:suff w:val="space"/>
      <w:lvlText w:val="[%1]"/>
      <w:lvlJc w:val="left"/>
    </w:lvl>
  </w:abstractNum>
  <w:abstractNum w:abstractNumId="1">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2">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tentative="0">
      <w:start w:val="1"/>
      <w:numFmt w:val="bullet"/>
      <w:pStyle w:val="21"/>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9">
    <w:nsid w:val="5C991E5A"/>
    <w:multiLevelType w:val="multilevel"/>
    <w:tmpl w:val="5C991E5A"/>
    <w:lvl w:ilvl="0" w:tentative="0">
      <w:start w:val="1"/>
      <w:numFmt w:val="bullet"/>
      <w:pStyle w:val="22"/>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0">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1">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9"/>
  </w:num>
  <w:num w:numId="4">
    <w:abstractNumId w:val="5"/>
  </w:num>
  <w:num w:numId="5">
    <w:abstractNumId w:val="10"/>
  </w:num>
  <w:num w:numId="6">
    <w:abstractNumId w:val="7"/>
  </w:num>
  <w:num w:numId="7">
    <w:abstractNumId w:val="4"/>
  </w:num>
  <w:num w:numId="8">
    <w:abstractNumId w:val="12"/>
  </w:num>
  <w:num w:numId="9">
    <w:abstractNumId w:val="2"/>
  </w:num>
  <w:num w:numId="10">
    <w:abstractNumId w:val="11"/>
  </w:num>
  <w:num w:numId="11">
    <w:abstractNumId w:val="8"/>
  </w:num>
  <w:num w:numId="12">
    <w:abstractNumId w:val="6"/>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CC3"/>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50"/>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6F3D"/>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2F1"/>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0A4"/>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800"/>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10D"/>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1AD"/>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941"/>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6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1D5"/>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3E68"/>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9C9"/>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78"/>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56B"/>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9F5"/>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B30"/>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6F98"/>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887"/>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457"/>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D4E"/>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679"/>
    <w:rsid w:val="00570D10"/>
    <w:rsid w:val="0057112E"/>
    <w:rsid w:val="00571265"/>
    <w:rsid w:val="00571378"/>
    <w:rsid w:val="00571966"/>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87AAA"/>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5C5"/>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4C6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1912"/>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4FA"/>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3C6"/>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47"/>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6AA"/>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3E0E"/>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1684"/>
    <w:rsid w:val="009029D6"/>
    <w:rsid w:val="009031F0"/>
    <w:rsid w:val="009035C5"/>
    <w:rsid w:val="00903D59"/>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85D"/>
    <w:rsid w:val="009F5C3D"/>
    <w:rsid w:val="009F5D50"/>
    <w:rsid w:val="009F5D86"/>
    <w:rsid w:val="009F606B"/>
    <w:rsid w:val="009F60B9"/>
    <w:rsid w:val="009F61B2"/>
    <w:rsid w:val="009F6450"/>
    <w:rsid w:val="009F65C3"/>
    <w:rsid w:val="009F6841"/>
    <w:rsid w:val="009F7D0B"/>
    <w:rsid w:val="009F7DC6"/>
    <w:rsid w:val="00A001F5"/>
    <w:rsid w:val="00A00714"/>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298"/>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7C9"/>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C84"/>
    <w:rsid w:val="00AC5ECC"/>
    <w:rsid w:val="00AC6137"/>
    <w:rsid w:val="00AC6156"/>
    <w:rsid w:val="00AC6556"/>
    <w:rsid w:val="00AC67C4"/>
    <w:rsid w:val="00AC69E2"/>
    <w:rsid w:val="00AC6FC4"/>
    <w:rsid w:val="00AC722B"/>
    <w:rsid w:val="00AC748E"/>
    <w:rsid w:val="00AC765E"/>
    <w:rsid w:val="00AC7B40"/>
    <w:rsid w:val="00AC7C68"/>
    <w:rsid w:val="00AC7E3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4E6"/>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7CB"/>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3A9"/>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3E14"/>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2AB"/>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E7E08"/>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EF3"/>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8DE"/>
    <w:rsid w:val="00D949C7"/>
    <w:rsid w:val="00D94D77"/>
    <w:rsid w:val="00D94E69"/>
    <w:rsid w:val="00D950CB"/>
    <w:rsid w:val="00D952E4"/>
    <w:rsid w:val="00D95624"/>
    <w:rsid w:val="00D9565E"/>
    <w:rsid w:val="00D956D4"/>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55"/>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7B0"/>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B80"/>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01"/>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BFD"/>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479"/>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13356D"/>
    <w:rsid w:val="01261783"/>
    <w:rsid w:val="012C7790"/>
    <w:rsid w:val="0130764A"/>
    <w:rsid w:val="013A4C6E"/>
    <w:rsid w:val="013B40A1"/>
    <w:rsid w:val="013B7B86"/>
    <w:rsid w:val="01445AC8"/>
    <w:rsid w:val="014F5AEC"/>
    <w:rsid w:val="01597E34"/>
    <w:rsid w:val="015D46BF"/>
    <w:rsid w:val="016B6E25"/>
    <w:rsid w:val="016E6786"/>
    <w:rsid w:val="01791CB2"/>
    <w:rsid w:val="018121F4"/>
    <w:rsid w:val="0187447D"/>
    <w:rsid w:val="01A47FEC"/>
    <w:rsid w:val="01AB65A1"/>
    <w:rsid w:val="01B015B0"/>
    <w:rsid w:val="01B13133"/>
    <w:rsid w:val="01B60586"/>
    <w:rsid w:val="01C2533B"/>
    <w:rsid w:val="01CC21F9"/>
    <w:rsid w:val="01E350D1"/>
    <w:rsid w:val="01EE7061"/>
    <w:rsid w:val="01EF2C9E"/>
    <w:rsid w:val="01FD79B8"/>
    <w:rsid w:val="02067CF9"/>
    <w:rsid w:val="02072962"/>
    <w:rsid w:val="021B2FD6"/>
    <w:rsid w:val="02221303"/>
    <w:rsid w:val="023853F6"/>
    <w:rsid w:val="023B380D"/>
    <w:rsid w:val="02562A14"/>
    <w:rsid w:val="025B5430"/>
    <w:rsid w:val="02674F36"/>
    <w:rsid w:val="026D607F"/>
    <w:rsid w:val="026F5973"/>
    <w:rsid w:val="027B1D57"/>
    <w:rsid w:val="027F793D"/>
    <w:rsid w:val="02865A1B"/>
    <w:rsid w:val="028B2766"/>
    <w:rsid w:val="028C3C3A"/>
    <w:rsid w:val="029E07FE"/>
    <w:rsid w:val="02B5652D"/>
    <w:rsid w:val="02CB0E0D"/>
    <w:rsid w:val="02D8526C"/>
    <w:rsid w:val="02EB38B9"/>
    <w:rsid w:val="02EE0E74"/>
    <w:rsid w:val="02F00BEE"/>
    <w:rsid w:val="02F22456"/>
    <w:rsid w:val="030026D0"/>
    <w:rsid w:val="0300644B"/>
    <w:rsid w:val="03024BFE"/>
    <w:rsid w:val="03045E57"/>
    <w:rsid w:val="031242C4"/>
    <w:rsid w:val="03125D81"/>
    <w:rsid w:val="0335007C"/>
    <w:rsid w:val="03393D83"/>
    <w:rsid w:val="033C5EC0"/>
    <w:rsid w:val="03413437"/>
    <w:rsid w:val="034C18E0"/>
    <w:rsid w:val="034E210F"/>
    <w:rsid w:val="034E4466"/>
    <w:rsid w:val="035A3386"/>
    <w:rsid w:val="036E7530"/>
    <w:rsid w:val="03700661"/>
    <w:rsid w:val="03734967"/>
    <w:rsid w:val="03737E86"/>
    <w:rsid w:val="03741A76"/>
    <w:rsid w:val="03755849"/>
    <w:rsid w:val="03904624"/>
    <w:rsid w:val="039F105A"/>
    <w:rsid w:val="039F2528"/>
    <w:rsid w:val="03A77CDB"/>
    <w:rsid w:val="03AD7917"/>
    <w:rsid w:val="03C71ADF"/>
    <w:rsid w:val="03CF66D4"/>
    <w:rsid w:val="03D4423A"/>
    <w:rsid w:val="03DB11E2"/>
    <w:rsid w:val="03DD7F7E"/>
    <w:rsid w:val="03E347BB"/>
    <w:rsid w:val="03EC32C2"/>
    <w:rsid w:val="03FC1918"/>
    <w:rsid w:val="040410D3"/>
    <w:rsid w:val="04163756"/>
    <w:rsid w:val="041D6249"/>
    <w:rsid w:val="042B0263"/>
    <w:rsid w:val="04382996"/>
    <w:rsid w:val="043D67B9"/>
    <w:rsid w:val="04527941"/>
    <w:rsid w:val="045A1092"/>
    <w:rsid w:val="045C5F07"/>
    <w:rsid w:val="045D0B48"/>
    <w:rsid w:val="045E0609"/>
    <w:rsid w:val="046C366C"/>
    <w:rsid w:val="04790F5E"/>
    <w:rsid w:val="047E591B"/>
    <w:rsid w:val="04831DBD"/>
    <w:rsid w:val="048773BF"/>
    <w:rsid w:val="049156F6"/>
    <w:rsid w:val="049A6719"/>
    <w:rsid w:val="04A550ED"/>
    <w:rsid w:val="04AC246B"/>
    <w:rsid w:val="04AD43A5"/>
    <w:rsid w:val="04B43293"/>
    <w:rsid w:val="04B604FF"/>
    <w:rsid w:val="04D11A7E"/>
    <w:rsid w:val="04D51DB9"/>
    <w:rsid w:val="04D6078B"/>
    <w:rsid w:val="04DC3315"/>
    <w:rsid w:val="04E2571E"/>
    <w:rsid w:val="04EA64F1"/>
    <w:rsid w:val="04EC7690"/>
    <w:rsid w:val="04ED10B5"/>
    <w:rsid w:val="04EE00C4"/>
    <w:rsid w:val="04F82945"/>
    <w:rsid w:val="05040A56"/>
    <w:rsid w:val="0506279A"/>
    <w:rsid w:val="05073FED"/>
    <w:rsid w:val="050C6378"/>
    <w:rsid w:val="050F171D"/>
    <w:rsid w:val="05134032"/>
    <w:rsid w:val="05175F4B"/>
    <w:rsid w:val="05176BF7"/>
    <w:rsid w:val="05193157"/>
    <w:rsid w:val="051C7CEF"/>
    <w:rsid w:val="052565BD"/>
    <w:rsid w:val="052E44DD"/>
    <w:rsid w:val="053643FD"/>
    <w:rsid w:val="05371F0D"/>
    <w:rsid w:val="054606C5"/>
    <w:rsid w:val="054B7138"/>
    <w:rsid w:val="05582B00"/>
    <w:rsid w:val="05587C20"/>
    <w:rsid w:val="05587DDA"/>
    <w:rsid w:val="05697BE0"/>
    <w:rsid w:val="056B2FD4"/>
    <w:rsid w:val="056B6CE4"/>
    <w:rsid w:val="056C3975"/>
    <w:rsid w:val="057435A4"/>
    <w:rsid w:val="057C43D0"/>
    <w:rsid w:val="05847557"/>
    <w:rsid w:val="058477EE"/>
    <w:rsid w:val="05872E56"/>
    <w:rsid w:val="058764CA"/>
    <w:rsid w:val="05907FB7"/>
    <w:rsid w:val="059241C7"/>
    <w:rsid w:val="05A66E3E"/>
    <w:rsid w:val="05AA4F24"/>
    <w:rsid w:val="05AB32C0"/>
    <w:rsid w:val="05BE5BD9"/>
    <w:rsid w:val="05BF6ECE"/>
    <w:rsid w:val="05CF6C96"/>
    <w:rsid w:val="05D0636F"/>
    <w:rsid w:val="05DA01E8"/>
    <w:rsid w:val="05DA651D"/>
    <w:rsid w:val="05E1635E"/>
    <w:rsid w:val="05E17DA4"/>
    <w:rsid w:val="05E22635"/>
    <w:rsid w:val="05E43172"/>
    <w:rsid w:val="05E61DE1"/>
    <w:rsid w:val="05E765A1"/>
    <w:rsid w:val="05EC0947"/>
    <w:rsid w:val="05F25E08"/>
    <w:rsid w:val="06023813"/>
    <w:rsid w:val="06051705"/>
    <w:rsid w:val="06056BE7"/>
    <w:rsid w:val="060F7FFD"/>
    <w:rsid w:val="06151900"/>
    <w:rsid w:val="06281D5E"/>
    <w:rsid w:val="0628331F"/>
    <w:rsid w:val="062A1949"/>
    <w:rsid w:val="06367268"/>
    <w:rsid w:val="06443493"/>
    <w:rsid w:val="064C02D3"/>
    <w:rsid w:val="06525D08"/>
    <w:rsid w:val="066327A9"/>
    <w:rsid w:val="06632969"/>
    <w:rsid w:val="0665774C"/>
    <w:rsid w:val="06667182"/>
    <w:rsid w:val="06911F5C"/>
    <w:rsid w:val="069D7084"/>
    <w:rsid w:val="06A505BC"/>
    <w:rsid w:val="06BE54F4"/>
    <w:rsid w:val="06C97CEE"/>
    <w:rsid w:val="06D250A7"/>
    <w:rsid w:val="06E1106D"/>
    <w:rsid w:val="06FC6542"/>
    <w:rsid w:val="07016055"/>
    <w:rsid w:val="07115BD3"/>
    <w:rsid w:val="07155AB1"/>
    <w:rsid w:val="07156B71"/>
    <w:rsid w:val="07273FDB"/>
    <w:rsid w:val="07283F32"/>
    <w:rsid w:val="073902B1"/>
    <w:rsid w:val="073C49D1"/>
    <w:rsid w:val="07400AA7"/>
    <w:rsid w:val="07486414"/>
    <w:rsid w:val="075375FC"/>
    <w:rsid w:val="075E7FC5"/>
    <w:rsid w:val="07620519"/>
    <w:rsid w:val="07620F20"/>
    <w:rsid w:val="0765096C"/>
    <w:rsid w:val="076524EC"/>
    <w:rsid w:val="077723B5"/>
    <w:rsid w:val="079048B0"/>
    <w:rsid w:val="079506D6"/>
    <w:rsid w:val="079D224E"/>
    <w:rsid w:val="07A10EF9"/>
    <w:rsid w:val="07A24DAE"/>
    <w:rsid w:val="07A53007"/>
    <w:rsid w:val="07B050BB"/>
    <w:rsid w:val="07B445EC"/>
    <w:rsid w:val="07CB1AF5"/>
    <w:rsid w:val="07E14486"/>
    <w:rsid w:val="07E5651E"/>
    <w:rsid w:val="07E85F02"/>
    <w:rsid w:val="07E95786"/>
    <w:rsid w:val="07E962E5"/>
    <w:rsid w:val="07F05A0E"/>
    <w:rsid w:val="07FD5B8D"/>
    <w:rsid w:val="08011AB9"/>
    <w:rsid w:val="0808110C"/>
    <w:rsid w:val="080B6FBF"/>
    <w:rsid w:val="08136966"/>
    <w:rsid w:val="081C427F"/>
    <w:rsid w:val="08256D5F"/>
    <w:rsid w:val="0828415E"/>
    <w:rsid w:val="082A0683"/>
    <w:rsid w:val="082A4AB6"/>
    <w:rsid w:val="08546140"/>
    <w:rsid w:val="085553E0"/>
    <w:rsid w:val="08586256"/>
    <w:rsid w:val="085C2F12"/>
    <w:rsid w:val="08620356"/>
    <w:rsid w:val="086473A8"/>
    <w:rsid w:val="08657BAD"/>
    <w:rsid w:val="08671BA5"/>
    <w:rsid w:val="08672738"/>
    <w:rsid w:val="086F08E5"/>
    <w:rsid w:val="08755DF6"/>
    <w:rsid w:val="088870BE"/>
    <w:rsid w:val="08946327"/>
    <w:rsid w:val="08991A37"/>
    <w:rsid w:val="08A3261C"/>
    <w:rsid w:val="08A55570"/>
    <w:rsid w:val="08A57E75"/>
    <w:rsid w:val="08AA2CB0"/>
    <w:rsid w:val="08B102C9"/>
    <w:rsid w:val="08BA285B"/>
    <w:rsid w:val="08BE469E"/>
    <w:rsid w:val="08C86118"/>
    <w:rsid w:val="08D73FF1"/>
    <w:rsid w:val="08DA0C6D"/>
    <w:rsid w:val="08E24EC4"/>
    <w:rsid w:val="08EE0A8E"/>
    <w:rsid w:val="08FB4811"/>
    <w:rsid w:val="08FE14A3"/>
    <w:rsid w:val="08FF2520"/>
    <w:rsid w:val="09044FDC"/>
    <w:rsid w:val="09063FA8"/>
    <w:rsid w:val="09112BA7"/>
    <w:rsid w:val="0912587B"/>
    <w:rsid w:val="092A0717"/>
    <w:rsid w:val="092F6CCC"/>
    <w:rsid w:val="093022B2"/>
    <w:rsid w:val="093422B8"/>
    <w:rsid w:val="09352B58"/>
    <w:rsid w:val="093E6F4A"/>
    <w:rsid w:val="09457234"/>
    <w:rsid w:val="094729AB"/>
    <w:rsid w:val="094E719C"/>
    <w:rsid w:val="09580F97"/>
    <w:rsid w:val="095E7DCF"/>
    <w:rsid w:val="096B03FF"/>
    <w:rsid w:val="096F777B"/>
    <w:rsid w:val="098113B0"/>
    <w:rsid w:val="09823672"/>
    <w:rsid w:val="09A343B5"/>
    <w:rsid w:val="09A5164D"/>
    <w:rsid w:val="09B55CF9"/>
    <w:rsid w:val="09BC2E8E"/>
    <w:rsid w:val="09CE25F7"/>
    <w:rsid w:val="09DF294B"/>
    <w:rsid w:val="0A100F96"/>
    <w:rsid w:val="0A16495D"/>
    <w:rsid w:val="0A17231B"/>
    <w:rsid w:val="0A1A2468"/>
    <w:rsid w:val="0A1F2C48"/>
    <w:rsid w:val="0A254FCC"/>
    <w:rsid w:val="0A285D20"/>
    <w:rsid w:val="0A312D3F"/>
    <w:rsid w:val="0A3F15DC"/>
    <w:rsid w:val="0A466F2A"/>
    <w:rsid w:val="0A486B7B"/>
    <w:rsid w:val="0A4A3B10"/>
    <w:rsid w:val="0A507EE1"/>
    <w:rsid w:val="0A53785F"/>
    <w:rsid w:val="0A5B25BE"/>
    <w:rsid w:val="0A5F4A05"/>
    <w:rsid w:val="0A623302"/>
    <w:rsid w:val="0A661320"/>
    <w:rsid w:val="0A681411"/>
    <w:rsid w:val="0A6F3848"/>
    <w:rsid w:val="0A7A68E3"/>
    <w:rsid w:val="0A8E5BE2"/>
    <w:rsid w:val="0A900244"/>
    <w:rsid w:val="0AB0238C"/>
    <w:rsid w:val="0AB720D0"/>
    <w:rsid w:val="0AD01757"/>
    <w:rsid w:val="0AD35BE6"/>
    <w:rsid w:val="0AD4318C"/>
    <w:rsid w:val="0AE55AD1"/>
    <w:rsid w:val="0AE62DC3"/>
    <w:rsid w:val="0AF972F4"/>
    <w:rsid w:val="0AFA009A"/>
    <w:rsid w:val="0B003BCD"/>
    <w:rsid w:val="0B003DE2"/>
    <w:rsid w:val="0B0126CF"/>
    <w:rsid w:val="0B077BAA"/>
    <w:rsid w:val="0B092D5E"/>
    <w:rsid w:val="0B0F01DA"/>
    <w:rsid w:val="0B103642"/>
    <w:rsid w:val="0B124E30"/>
    <w:rsid w:val="0B192BA7"/>
    <w:rsid w:val="0B1D70C8"/>
    <w:rsid w:val="0B207705"/>
    <w:rsid w:val="0B286CBC"/>
    <w:rsid w:val="0B423423"/>
    <w:rsid w:val="0B481F97"/>
    <w:rsid w:val="0B567FFC"/>
    <w:rsid w:val="0B5B4FF5"/>
    <w:rsid w:val="0B787CAC"/>
    <w:rsid w:val="0B7C2D77"/>
    <w:rsid w:val="0B7E1425"/>
    <w:rsid w:val="0B7E33BD"/>
    <w:rsid w:val="0B8067A3"/>
    <w:rsid w:val="0B937DA3"/>
    <w:rsid w:val="0B966DC2"/>
    <w:rsid w:val="0B9C5390"/>
    <w:rsid w:val="0BA72814"/>
    <w:rsid w:val="0BA74CF3"/>
    <w:rsid w:val="0BA75465"/>
    <w:rsid w:val="0BB1203A"/>
    <w:rsid w:val="0BB52A88"/>
    <w:rsid w:val="0BB635B6"/>
    <w:rsid w:val="0BC0582C"/>
    <w:rsid w:val="0BC97B87"/>
    <w:rsid w:val="0BCD0386"/>
    <w:rsid w:val="0BD11EF8"/>
    <w:rsid w:val="0BD9060A"/>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5F1CE0"/>
    <w:rsid w:val="0C610FD5"/>
    <w:rsid w:val="0C641E89"/>
    <w:rsid w:val="0C7A0C33"/>
    <w:rsid w:val="0C8758EB"/>
    <w:rsid w:val="0C95396A"/>
    <w:rsid w:val="0C9C0BC6"/>
    <w:rsid w:val="0C9D2EE3"/>
    <w:rsid w:val="0CA95EE8"/>
    <w:rsid w:val="0CAA3776"/>
    <w:rsid w:val="0CAA584B"/>
    <w:rsid w:val="0CAC41AE"/>
    <w:rsid w:val="0CB337AA"/>
    <w:rsid w:val="0CC45E50"/>
    <w:rsid w:val="0CC868A7"/>
    <w:rsid w:val="0CCB2AFA"/>
    <w:rsid w:val="0CD07B3D"/>
    <w:rsid w:val="0CE4374C"/>
    <w:rsid w:val="0CF86EA2"/>
    <w:rsid w:val="0D090A9B"/>
    <w:rsid w:val="0D0B3AE7"/>
    <w:rsid w:val="0D1B7692"/>
    <w:rsid w:val="0D25736F"/>
    <w:rsid w:val="0D2974B3"/>
    <w:rsid w:val="0D2E50C1"/>
    <w:rsid w:val="0D315A17"/>
    <w:rsid w:val="0D4450E8"/>
    <w:rsid w:val="0D446417"/>
    <w:rsid w:val="0D473C1A"/>
    <w:rsid w:val="0D5153C6"/>
    <w:rsid w:val="0D546E25"/>
    <w:rsid w:val="0D561F10"/>
    <w:rsid w:val="0D681B0E"/>
    <w:rsid w:val="0D6876BC"/>
    <w:rsid w:val="0D76077C"/>
    <w:rsid w:val="0D796521"/>
    <w:rsid w:val="0D7E5C19"/>
    <w:rsid w:val="0D8B330B"/>
    <w:rsid w:val="0D930B9B"/>
    <w:rsid w:val="0D9533A2"/>
    <w:rsid w:val="0D9B02A5"/>
    <w:rsid w:val="0DAB6775"/>
    <w:rsid w:val="0DB827DE"/>
    <w:rsid w:val="0DCD68E1"/>
    <w:rsid w:val="0DD6175F"/>
    <w:rsid w:val="0DDC42E4"/>
    <w:rsid w:val="0E02571A"/>
    <w:rsid w:val="0E04044F"/>
    <w:rsid w:val="0E040C64"/>
    <w:rsid w:val="0E0B4BF2"/>
    <w:rsid w:val="0E0D46A1"/>
    <w:rsid w:val="0E195F3C"/>
    <w:rsid w:val="0E1D020C"/>
    <w:rsid w:val="0E1E06DD"/>
    <w:rsid w:val="0E2B3498"/>
    <w:rsid w:val="0E410195"/>
    <w:rsid w:val="0E4E17BA"/>
    <w:rsid w:val="0E537E47"/>
    <w:rsid w:val="0E63577F"/>
    <w:rsid w:val="0E6C1770"/>
    <w:rsid w:val="0E746972"/>
    <w:rsid w:val="0E874158"/>
    <w:rsid w:val="0E912655"/>
    <w:rsid w:val="0E936C61"/>
    <w:rsid w:val="0E945725"/>
    <w:rsid w:val="0E9B667F"/>
    <w:rsid w:val="0EB648ED"/>
    <w:rsid w:val="0EB76970"/>
    <w:rsid w:val="0EBD130E"/>
    <w:rsid w:val="0EC10662"/>
    <w:rsid w:val="0ED23F89"/>
    <w:rsid w:val="0EE74D70"/>
    <w:rsid w:val="0EFC7DA7"/>
    <w:rsid w:val="0EFE523A"/>
    <w:rsid w:val="0F142574"/>
    <w:rsid w:val="0F245617"/>
    <w:rsid w:val="0F46488F"/>
    <w:rsid w:val="0F4C36C8"/>
    <w:rsid w:val="0F5F0E06"/>
    <w:rsid w:val="0F640159"/>
    <w:rsid w:val="0F6C61FA"/>
    <w:rsid w:val="0F7052E6"/>
    <w:rsid w:val="0F757973"/>
    <w:rsid w:val="0F772B49"/>
    <w:rsid w:val="0F7D7A1F"/>
    <w:rsid w:val="0F802E0A"/>
    <w:rsid w:val="0F805F18"/>
    <w:rsid w:val="0F8A366F"/>
    <w:rsid w:val="0F8C1716"/>
    <w:rsid w:val="0F966505"/>
    <w:rsid w:val="0F9930A4"/>
    <w:rsid w:val="0F9B5B18"/>
    <w:rsid w:val="0F9E41B4"/>
    <w:rsid w:val="0F9F05E5"/>
    <w:rsid w:val="0FA846DC"/>
    <w:rsid w:val="0FAF752F"/>
    <w:rsid w:val="0FB72C2B"/>
    <w:rsid w:val="0FCA20EB"/>
    <w:rsid w:val="0FCD0C7F"/>
    <w:rsid w:val="0FCD1445"/>
    <w:rsid w:val="0FCD2861"/>
    <w:rsid w:val="0FD36F03"/>
    <w:rsid w:val="0FD95BF4"/>
    <w:rsid w:val="0FDA54AA"/>
    <w:rsid w:val="0FDD75AE"/>
    <w:rsid w:val="0FE46501"/>
    <w:rsid w:val="0FF237A8"/>
    <w:rsid w:val="100150A0"/>
    <w:rsid w:val="10032C53"/>
    <w:rsid w:val="10161BA7"/>
    <w:rsid w:val="10244F0E"/>
    <w:rsid w:val="102E4420"/>
    <w:rsid w:val="1032683E"/>
    <w:rsid w:val="10374454"/>
    <w:rsid w:val="103F1735"/>
    <w:rsid w:val="10442CB0"/>
    <w:rsid w:val="104500A8"/>
    <w:rsid w:val="104F012F"/>
    <w:rsid w:val="106606A4"/>
    <w:rsid w:val="106C17A6"/>
    <w:rsid w:val="107A0C72"/>
    <w:rsid w:val="10810AA8"/>
    <w:rsid w:val="109C2255"/>
    <w:rsid w:val="10AE1171"/>
    <w:rsid w:val="10C97528"/>
    <w:rsid w:val="10CC36E9"/>
    <w:rsid w:val="10D1157C"/>
    <w:rsid w:val="10E55F62"/>
    <w:rsid w:val="10EE6FEE"/>
    <w:rsid w:val="10F472F5"/>
    <w:rsid w:val="11003578"/>
    <w:rsid w:val="1114768E"/>
    <w:rsid w:val="11205E74"/>
    <w:rsid w:val="112325DA"/>
    <w:rsid w:val="112742FC"/>
    <w:rsid w:val="112F045E"/>
    <w:rsid w:val="11312E7E"/>
    <w:rsid w:val="114762BA"/>
    <w:rsid w:val="114B43DF"/>
    <w:rsid w:val="11534747"/>
    <w:rsid w:val="115C2787"/>
    <w:rsid w:val="1161496B"/>
    <w:rsid w:val="116B7840"/>
    <w:rsid w:val="116C578C"/>
    <w:rsid w:val="11714B76"/>
    <w:rsid w:val="11717B47"/>
    <w:rsid w:val="117637C2"/>
    <w:rsid w:val="117A5F3A"/>
    <w:rsid w:val="1184418C"/>
    <w:rsid w:val="11861AF7"/>
    <w:rsid w:val="11945129"/>
    <w:rsid w:val="119F6317"/>
    <w:rsid w:val="11B311F2"/>
    <w:rsid w:val="11B95C93"/>
    <w:rsid w:val="11C701F1"/>
    <w:rsid w:val="11CF7FCC"/>
    <w:rsid w:val="11D75F67"/>
    <w:rsid w:val="11E57F60"/>
    <w:rsid w:val="11F94E72"/>
    <w:rsid w:val="11FC5A74"/>
    <w:rsid w:val="120D3B15"/>
    <w:rsid w:val="12125816"/>
    <w:rsid w:val="121612D5"/>
    <w:rsid w:val="12184C28"/>
    <w:rsid w:val="12191BA7"/>
    <w:rsid w:val="12231E5A"/>
    <w:rsid w:val="122A61E3"/>
    <w:rsid w:val="1230189D"/>
    <w:rsid w:val="1238059C"/>
    <w:rsid w:val="123B06D9"/>
    <w:rsid w:val="123F5A51"/>
    <w:rsid w:val="12456C88"/>
    <w:rsid w:val="1249506D"/>
    <w:rsid w:val="12505C6D"/>
    <w:rsid w:val="125509A0"/>
    <w:rsid w:val="12620E97"/>
    <w:rsid w:val="126C3536"/>
    <w:rsid w:val="126F1F4B"/>
    <w:rsid w:val="1273677B"/>
    <w:rsid w:val="127530AF"/>
    <w:rsid w:val="12766E6A"/>
    <w:rsid w:val="127D7052"/>
    <w:rsid w:val="12885826"/>
    <w:rsid w:val="128A4BF6"/>
    <w:rsid w:val="12932EFE"/>
    <w:rsid w:val="12944EC4"/>
    <w:rsid w:val="12951926"/>
    <w:rsid w:val="129D6F90"/>
    <w:rsid w:val="12C219F1"/>
    <w:rsid w:val="12CE19E6"/>
    <w:rsid w:val="12D533D2"/>
    <w:rsid w:val="12D752A3"/>
    <w:rsid w:val="12E26B3A"/>
    <w:rsid w:val="12EC6383"/>
    <w:rsid w:val="12EE33AC"/>
    <w:rsid w:val="12EF6841"/>
    <w:rsid w:val="12F571E9"/>
    <w:rsid w:val="13080271"/>
    <w:rsid w:val="1311514F"/>
    <w:rsid w:val="131B6D1D"/>
    <w:rsid w:val="13204F53"/>
    <w:rsid w:val="13277783"/>
    <w:rsid w:val="132E5326"/>
    <w:rsid w:val="13306369"/>
    <w:rsid w:val="133F50FA"/>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D7DCF"/>
    <w:rsid w:val="13CE48B5"/>
    <w:rsid w:val="13D16758"/>
    <w:rsid w:val="13D30A85"/>
    <w:rsid w:val="13D347CA"/>
    <w:rsid w:val="13D830ED"/>
    <w:rsid w:val="13DD655A"/>
    <w:rsid w:val="13E3507A"/>
    <w:rsid w:val="13E7173A"/>
    <w:rsid w:val="13F36B6C"/>
    <w:rsid w:val="13F40DF1"/>
    <w:rsid w:val="13F66306"/>
    <w:rsid w:val="13FF1965"/>
    <w:rsid w:val="14094AFA"/>
    <w:rsid w:val="141F3605"/>
    <w:rsid w:val="14250E1C"/>
    <w:rsid w:val="142A6E8C"/>
    <w:rsid w:val="142C08DC"/>
    <w:rsid w:val="142E1692"/>
    <w:rsid w:val="143203FE"/>
    <w:rsid w:val="143278A3"/>
    <w:rsid w:val="143F24FA"/>
    <w:rsid w:val="1446125F"/>
    <w:rsid w:val="1448114C"/>
    <w:rsid w:val="1448311D"/>
    <w:rsid w:val="144A597A"/>
    <w:rsid w:val="144A5CCA"/>
    <w:rsid w:val="14623392"/>
    <w:rsid w:val="146E08ED"/>
    <w:rsid w:val="147E2601"/>
    <w:rsid w:val="148B2701"/>
    <w:rsid w:val="1492399C"/>
    <w:rsid w:val="149A2E43"/>
    <w:rsid w:val="14A06EC2"/>
    <w:rsid w:val="14A23F95"/>
    <w:rsid w:val="14A27222"/>
    <w:rsid w:val="14AE12BA"/>
    <w:rsid w:val="14B73392"/>
    <w:rsid w:val="14C13FDB"/>
    <w:rsid w:val="14CE7B73"/>
    <w:rsid w:val="14D32724"/>
    <w:rsid w:val="14D84191"/>
    <w:rsid w:val="14E03043"/>
    <w:rsid w:val="14E0314C"/>
    <w:rsid w:val="14E2478F"/>
    <w:rsid w:val="14E435FC"/>
    <w:rsid w:val="14F34B43"/>
    <w:rsid w:val="14F45292"/>
    <w:rsid w:val="14F4722B"/>
    <w:rsid w:val="14F65C86"/>
    <w:rsid w:val="14F70046"/>
    <w:rsid w:val="14F76726"/>
    <w:rsid w:val="14FB45CA"/>
    <w:rsid w:val="150C1BA5"/>
    <w:rsid w:val="151123EF"/>
    <w:rsid w:val="15125701"/>
    <w:rsid w:val="1516018E"/>
    <w:rsid w:val="151A2B60"/>
    <w:rsid w:val="15217D77"/>
    <w:rsid w:val="152A1E52"/>
    <w:rsid w:val="153805E0"/>
    <w:rsid w:val="1542182D"/>
    <w:rsid w:val="15551327"/>
    <w:rsid w:val="15587802"/>
    <w:rsid w:val="15611C97"/>
    <w:rsid w:val="15714BE7"/>
    <w:rsid w:val="15777BF2"/>
    <w:rsid w:val="1587701B"/>
    <w:rsid w:val="158C19B1"/>
    <w:rsid w:val="15971401"/>
    <w:rsid w:val="15987EDF"/>
    <w:rsid w:val="159F6551"/>
    <w:rsid w:val="15AA6AD1"/>
    <w:rsid w:val="15AB1179"/>
    <w:rsid w:val="15B4366E"/>
    <w:rsid w:val="15B65D6A"/>
    <w:rsid w:val="15CB362E"/>
    <w:rsid w:val="15D61985"/>
    <w:rsid w:val="15E5132B"/>
    <w:rsid w:val="15E6781B"/>
    <w:rsid w:val="15EF0DB2"/>
    <w:rsid w:val="15F1298D"/>
    <w:rsid w:val="15F522CC"/>
    <w:rsid w:val="15F76C35"/>
    <w:rsid w:val="16043574"/>
    <w:rsid w:val="16046B5F"/>
    <w:rsid w:val="1611122E"/>
    <w:rsid w:val="161173BC"/>
    <w:rsid w:val="16122BF8"/>
    <w:rsid w:val="161B3EB7"/>
    <w:rsid w:val="162A047C"/>
    <w:rsid w:val="162B60F2"/>
    <w:rsid w:val="16304D58"/>
    <w:rsid w:val="16334D0D"/>
    <w:rsid w:val="1643404D"/>
    <w:rsid w:val="164C001C"/>
    <w:rsid w:val="1651202D"/>
    <w:rsid w:val="16517D15"/>
    <w:rsid w:val="16670C23"/>
    <w:rsid w:val="167D764A"/>
    <w:rsid w:val="16837CFB"/>
    <w:rsid w:val="16862360"/>
    <w:rsid w:val="16915179"/>
    <w:rsid w:val="1692260F"/>
    <w:rsid w:val="16937F16"/>
    <w:rsid w:val="169B4C15"/>
    <w:rsid w:val="169D13F5"/>
    <w:rsid w:val="16A15054"/>
    <w:rsid w:val="16A2625D"/>
    <w:rsid w:val="16B430CC"/>
    <w:rsid w:val="16B6401E"/>
    <w:rsid w:val="16BC7120"/>
    <w:rsid w:val="16BD5D0A"/>
    <w:rsid w:val="16C15887"/>
    <w:rsid w:val="16CE62E2"/>
    <w:rsid w:val="16D33A58"/>
    <w:rsid w:val="16D50398"/>
    <w:rsid w:val="16D50F4C"/>
    <w:rsid w:val="16D92CE6"/>
    <w:rsid w:val="16DF4F27"/>
    <w:rsid w:val="16EA23DD"/>
    <w:rsid w:val="16F02920"/>
    <w:rsid w:val="16F14FB5"/>
    <w:rsid w:val="16F96F2D"/>
    <w:rsid w:val="17177DC1"/>
    <w:rsid w:val="172535D9"/>
    <w:rsid w:val="17382CF1"/>
    <w:rsid w:val="173B4178"/>
    <w:rsid w:val="17526985"/>
    <w:rsid w:val="175978D3"/>
    <w:rsid w:val="175A23F2"/>
    <w:rsid w:val="175D0D6F"/>
    <w:rsid w:val="17695B63"/>
    <w:rsid w:val="17741C8F"/>
    <w:rsid w:val="17760C6A"/>
    <w:rsid w:val="17761CC0"/>
    <w:rsid w:val="178E3CA5"/>
    <w:rsid w:val="178F21FA"/>
    <w:rsid w:val="17925944"/>
    <w:rsid w:val="179B0D1A"/>
    <w:rsid w:val="179B2E20"/>
    <w:rsid w:val="17B35CC8"/>
    <w:rsid w:val="17B62F19"/>
    <w:rsid w:val="17B95DA9"/>
    <w:rsid w:val="17C51E72"/>
    <w:rsid w:val="17CC48D8"/>
    <w:rsid w:val="17CC7250"/>
    <w:rsid w:val="17CD150B"/>
    <w:rsid w:val="17D44C75"/>
    <w:rsid w:val="17E83719"/>
    <w:rsid w:val="17F113E9"/>
    <w:rsid w:val="17F247BA"/>
    <w:rsid w:val="17F96EB0"/>
    <w:rsid w:val="181C4250"/>
    <w:rsid w:val="18242407"/>
    <w:rsid w:val="182C5AF0"/>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63514"/>
    <w:rsid w:val="18AB5FAF"/>
    <w:rsid w:val="18BC39C0"/>
    <w:rsid w:val="18C11039"/>
    <w:rsid w:val="18C63B82"/>
    <w:rsid w:val="18CB5E1F"/>
    <w:rsid w:val="18D758B4"/>
    <w:rsid w:val="18E85CBC"/>
    <w:rsid w:val="18EE0A47"/>
    <w:rsid w:val="18F478DD"/>
    <w:rsid w:val="18FA3897"/>
    <w:rsid w:val="19047845"/>
    <w:rsid w:val="19060BCC"/>
    <w:rsid w:val="19120E5E"/>
    <w:rsid w:val="19235518"/>
    <w:rsid w:val="192468CD"/>
    <w:rsid w:val="19333C0A"/>
    <w:rsid w:val="193D7ACD"/>
    <w:rsid w:val="194309D8"/>
    <w:rsid w:val="19471FDA"/>
    <w:rsid w:val="1955215E"/>
    <w:rsid w:val="19587837"/>
    <w:rsid w:val="195C5E70"/>
    <w:rsid w:val="19687384"/>
    <w:rsid w:val="19687B56"/>
    <w:rsid w:val="19883015"/>
    <w:rsid w:val="19976AC3"/>
    <w:rsid w:val="199E4A14"/>
    <w:rsid w:val="19A71474"/>
    <w:rsid w:val="19AE0656"/>
    <w:rsid w:val="19B05F00"/>
    <w:rsid w:val="19B72E60"/>
    <w:rsid w:val="19C00315"/>
    <w:rsid w:val="19C34D1C"/>
    <w:rsid w:val="19C879C9"/>
    <w:rsid w:val="19E90A65"/>
    <w:rsid w:val="19F13C55"/>
    <w:rsid w:val="19F3039F"/>
    <w:rsid w:val="19F756C5"/>
    <w:rsid w:val="1A0301A3"/>
    <w:rsid w:val="1A06256E"/>
    <w:rsid w:val="1A145E68"/>
    <w:rsid w:val="1A197C48"/>
    <w:rsid w:val="1A1B7AF6"/>
    <w:rsid w:val="1A1E4DFD"/>
    <w:rsid w:val="1A247656"/>
    <w:rsid w:val="1A2556A1"/>
    <w:rsid w:val="1A3A1484"/>
    <w:rsid w:val="1A411F58"/>
    <w:rsid w:val="1A4C08AD"/>
    <w:rsid w:val="1A507DCD"/>
    <w:rsid w:val="1A551A07"/>
    <w:rsid w:val="1A5A4D51"/>
    <w:rsid w:val="1A63746B"/>
    <w:rsid w:val="1A672164"/>
    <w:rsid w:val="1A6A66D5"/>
    <w:rsid w:val="1A701A43"/>
    <w:rsid w:val="1A743FBF"/>
    <w:rsid w:val="1A7452C7"/>
    <w:rsid w:val="1A7A27D2"/>
    <w:rsid w:val="1A8578FC"/>
    <w:rsid w:val="1A894F17"/>
    <w:rsid w:val="1A8D7BE0"/>
    <w:rsid w:val="1A8F11A8"/>
    <w:rsid w:val="1A986421"/>
    <w:rsid w:val="1A9A7539"/>
    <w:rsid w:val="1AA03E54"/>
    <w:rsid w:val="1AA11FE9"/>
    <w:rsid w:val="1ABF33B5"/>
    <w:rsid w:val="1AC43521"/>
    <w:rsid w:val="1AC50442"/>
    <w:rsid w:val="1ACB051E"/>
    <w:rsid w:val="1ACF75D8"/>
    <w:rsid w:val="1ADC3233"/>
    <w:rsid w:val="1AE0535F"/>
    <w:rsid w:val="1AEA71EF"/>
    <w:rsid w:val="1AF74EC0"/>
    <w:rsid w:val="1B027BE5"/>
    <w:rsid w:val="1B0E7C8F"/>
    <w:rsid w:val="1B0F1462"/>
    <w:rsid w:val="1B1043FB"/>
    <w:rsid w:val="1B186537"/>
    <w:rsid w:val="1B2A1F85"/>
    <w:rsid w:val="1B3615CE"/>
    <w:rsid w:val="1B3631FD"/>
    <w:rsid w:val="1B427988"/>
    <w:rsid w:val="1B430F46"/>
    <w:rsid w:val="1B554734"/>
    <w:rsid w:val="1B67298A"/>
    <w:rsid w:val="1B697ACA"/>
    <w:rsid w:val="1B6C263D"/>
    <w:rsid w:val="1B752BB9"/>
    <w:rsid w:val="1B7613D4"/>
    <w:rsid w:val="1B790CAB"/>
    <w:rsid w:val="1B8422CF"/>
    <w:rsid w:val="1B865003"/>
    <w:rsid w:val="1B890FA6"/>
    <w:rsid w:val="1B953B78"/>
    <w:rsid w:val="1B9A120C"/>
    <w:rsid w:val="1B9E4034"/>
    <w:rsid w:val="1BA27232"/>
    <w:rsid w:val="1BA5533C"/>
    <w:rsid w:val="1BB56BB3"/>
    <w:rsid w:val="1BB90FC0"/>
    <w:rsid w:val="1BCA1C0C"/>
    <w:rsid w:val="1BCD3BA6"/>
    <w:rsid w:val="1BD64E8D"/>
    <w:rsid w:val="1BDC0BD9"/>
    <w:rsid w:val="1BEC765B"/>
    <w:rsid w:val="1BEE67BD"/>
    <w:rsid w:val="1BF0772F"/>
    <w:rsid w:val="1BF47D45"/>
    <w:rsid w:val="1BF57AB9"/>
    <w:rsid w:val="1C023AC3"/>
    <w:rsid w:val="1C067E98"/>
    <w:rsid w:val="1C0E5836"/>
    <w:rsid w:val="1C110CEA"/>
    <w:rsid w:val="1C20001F"/>
    <w:rsid w:val="1C200D59"/>
    <w:rsid w:val="1C317E69"/>
    <w:rsid w:val="1C3B746C"/>
    <w:rsid w:val="1C495398"/>
    <w:rsid w:val="1C4B6411"/>
    <w:rsid w:val="1C56060F"/>
    <w:rsid w:val="1C584975"/>
    <w:rsid w:val="1C590533"/>
    <w:rsid w:val="1C5B5CC1"/>
    <w:rsid w:val="1C633C92"/>
    <w:rsid w:val="1C6C207E"/>
    <w:rsid w:val="1C743961"/>
    <w:rsid w:val="1C7C2119"/>
    <w:rsid w:val="1C7D6E42"/>
    <w:rsid w:val="1C8B0937"/>
    <w:rsid w:val="1CA224D2"/>
    <w:rsid w:val="1CC30C0B"/>
    <w:rsid w:val="1CC51314"/>
    <w:rsid w:val="1CC51BA1"/>
    <w:rsid w:val="1CCC6F92"/>
    <w:rsid w:val="1CCF13FB"/>
    <w:rsid w:val="1CE9775C"/>
    <w:rsid w:val="1CEC0815"/>
    <w:rsid w:val="1CF26B79"/>
    <w:rsid w:val="1CF65B26"/>
    <w:rsid w:val="1D03170E"/>
    <w:rsid w:val="1D052A3D"/>
    <w:rsid w:val="1D0A6831"/>
    <w:rsid w:val="1D0B69AF"/>
    <w:rsid w:val="1D172F4E"/>
    <w:rsid w:val="1D2B3138"/>
    <w:rsid w:val="1D2D4DC0"/>
    <w:rsid w:val="1D303738"/>
    <w:rsid w:val="1D363824"/>
    <w:rsid w:val="1D42588B"/>
    <w:rsid w:val="1D537F49"/>
    <w:rsid w:val="1D593EEA"/>
    <w:rsid w:val="1D6303CA"/>
    <w:rsid w:val="1D637944"/>
    <w:rsid w:val="1D6D0B9C"/>
    <w:rsid w:val="1D795630"/>
    <w:rsid w:val="1D852E24"/>
    <w:rsid w:val="1D855586"/>
    <w:rsid w:val="1D965E95"/>
    <w:rsid w:val="1DA227A3"/>
    <w:rsid w:val="1DA47D18"/>
    <w:rsid w:val="1DA55478"/>
    <w:rsid w:val="1DAF3935"/>
    <w:rsid w:val="1DC743E3"/>
    <w:rsid w:val="1DCB745A"/>
    <w:rsid w:val="1DD3364A"/>
    <w:rsid w:val="1DD71967"/>
    <w:rsid w:val="1DE551BD"/>
    <w:rsid w:val="1DEB5CC3"/>
    <w:rsid w:val="1DF52E34"/>
    <w:rsid w:val="1E01227B"/>
    <w:rsid w:val="1E0166BB"/>
    <w:rsid w:val="1E0169CC"/>
    <w:rsid w:val="1E1126BE"/>
    <w:rsid w:val="1E3D5AE5"/>
    <w:rsid w:val="1E455CDC"/>
    <w:rsid w:val="1E4C0986"/>
    <w:rsid w:val="1E5752A2"/>
    <w:rsid w:val="1E5D25FB"/>
    <w:rsid w:val="1E6471BC"/>
    <w:rsid w:val="1E696878"/>
    <w:rsid w:val="1E76494F"/>
    <w:rsid w:val="1E906FE9"/>
    <w:rsid w:val="1E94288A"/>
    <w:rsid w:val="1EA40027"/>
    <w:rsid w:val="1EB50B50"/>
    <w:rsid w:val="1EBA31B8"/>
    <w:rsid w:val="1EBD6AFE"/>
    <w:rsid w:val="1EC24C3E"/>
    <w:rsid w:val="1ECD43D6"/>
    <w:rsid w:val="1EDE2EB1"/>
    <w:rsid w:val="1EE734DE"/>
    <w:rsid w:val="1EF3055A"/>
    <w:rsid w:val="1EFA616B"/>
    <w:rsid w:val="1F0038E4"/>
    <w:rsid w:val="1F0734FD"/>
    <w:rsid w:val="1F0B419D"/>
    <w:rsid w:val="1F0C3179"/>
    <w:rsid w:val="1F167841"/>
    <w:rsid w:val="1F1A0725"/>
    <w:rsid w:val="1F1E2769"/>
    <w:rsid w:val="1F200D82"/>
    <w:rsid w:val="1F2471EE"/>
    <w:rsid w:val="1F2F0772"/>
    <w:rsid w:val="1F3B755B"/>
    <w:rsid w:val="1F47434F"/>
    <w:rsid w:val="1F476A88"/>
    <w:rsid w:val="1F5076C2"/>
    <w:rsid w:val="1F5129AD"/>
    <w:rsid w:val="1F551C0C"/>
    <w:rsid w:val="1F6768EB"/>
    <w:rsid w:val="1F694055"/>
    <w:rsid w:val="1F7126DD"/>
    <w:rsid w:val="1F724366"/>
    <w:rsid w:val="1F7B18CC"/>
    <w:rsid w:val="1F81042E"/>
    <w:rsid w:val="1F8369FC"/>
    <w:rsid w:val="1F843470"/>
    <w:rsid w:val="1F870ABD"/>
    <w:rsid w:val="1F8959AB"/>
    <w:rsid w:val="1F8B2988"/>
    <w:rsid w:val="1F927907"/>
    <w:rsid w:val="1F9C0A4F"/>
    <w:rsid w:val="1FB26B0F"/>
    <w:rsid w:val="1FBA0F16"/>
    <w:rsid w:val="1FBC115D"/>
    <w:rsid w:val="1FBE4D4C"/>
    <w:rsid w:val="1FCB0C5B"/>
    <w:rsid w:val="1FD6731C"/>
    <w:rsid w:val="1FD735E1"/>
    <w:rsid w:val="1FD811DB"/>
    <w:rsid w:val="1FDF4828"/>
    <w:rsid w:val="1FE9639D"/>
    <w:rsid w:val="1FF26E57"/>
    <w:rsid w:val="20073DB6"/>
    <w:rsid w:val="200B1EEB"/>
    <w:rsid w:val="20150E9F"/>
    <w:rsid w:val="20171896"/>
    <w:rsid w:val="201868D8"/>
    <w:rsid w:val="20215EFB"/>
    <w:rsid w:val="2027555D"/>
    <w:rsid w:val="203D5909"/>
    <w:rsid w:val="203E43DC"/>
    <w:rsid w:val="2050652B"/>
    <w:rsid w:val="2052276E"/>
    <w:rsid w:val="205266EA"/>
    <w:rsid w:val="20574593"/>
    <w:rsid w:val="205B10F0"/>
    <w:rsid w:val="205B45BD"/>
    <w:rsid w:val="205C1C74"/>
    <w:rsid w:val="20625F66"/>
    <w:rsid w:val="206406E2"/>
    <w:rsid w:val="206B7976"/>
    <w:rsid w:val="207024C8"/>
    <w:rsid w:val="2072385E"/>
    <w:rsid w:val="20766F51"/>
    <w:rsid w:val="208607BE"/>
    <w:rsid w:val="20901AEB"/>
    <w:rsid w:val="20904DAD"/>
    <w:rsid w:val="209E1A23"/>
    <w:rsid w:val="20A05A55"/>
    <w:rsid w:val="20BF4FBA"/>
    <w:rsid w:val="20D2337B"/>
    <w:rsid w:val="20D53BE0"/>
    <w:rsid w:val="20DD62C0"/>
    <w:rsid w:val="20DE3FE7"/>
    <w:rsid w:val="20E05E8A"/>
    <w:rsid w:val="20E50DB6"/>
    <w:rsid w:val="20E5409E"/>
    <w:rsid w:val="20E668BA"/>
    <w:rsid w:val="20EB5620"/>
    <w:rsid w:val="20F00928"/>
    <w:rsid w:val="20F42C44"/>
    <w:rsid w:val="20F679F4"/>
    <w:rsid w:val="20F87FCE"/>
    <w:rsid w:val="20FC51F3"/>
    <w:rsid w:val="20FD76F3"/>
    <w:rsid w:val="21040451"/>
    <w:rsid w:val="210A644E"/>
    <w:rsid w:val="210C5556"/>
    <w:rsid w:val="210D1BEB"/>
    <w:rsid w:val="21180E32"/>
    <w:rsid w:val="21185A33"/>
    <w:rsid w:val="21262923"/>
    <w:rsid w:val="212D04A4"/>
    <w:rsid w:val="21323B49"/>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820C75"/>
    <w:rsid w:val="21846ED1"/>
    <w:rsid w:val="21964D08"/>
    <w:rsid w:val="21A61743"/>
    <w:rsid w:val="21AE0533"/>
    <w:rsid w:val="21B5378E"/>
    <w:rsid w:val="21CE6894"/>
    <w:rsid w:val="21D66EB2"/>
    <w:rsid w:val="21D677FD"/>
    <w:rsid w:val="21E359B2"/>
    <w:rsid w:val="22011200"/>
    <w:rsid w:val="22067AB1"/>
    <w:rsid w:val="22096534"/>
    <w:rsid w:val="220C6CB6"/>
    <w:rsid w:val="220D51F5"/>
    <w:rsid w:val="220E4D48"/>
    <w:rsid w:val="221C12F5"/>
    <w:rsid w:val="22201BFF"/>
    <w:rsid w:val="22274ED6"/>
    <w:rsid w:val="22287020"/>
    <w:rsid w:val="222E0FAA"/>
    <w:rsid w:val="222F007E"/>
    <w:rsid w:val="22441AA5"/>
    <w:rsid w:val="22475303"/>
    <w:rsid w:val="224E4CCD"/>
    <w:rsid w:val="22517AB0"/>
    <w:rsid w:val="22523775"/>
    <w:rsid w:val="22591A82"/>
    <w:rsid w:val="22610794"/>
    <w:rsid w:val="226D6F78"/>
    <w:rsid w:val="22715458"/>
    <w:rsid w:val="227666B7"/>
    <w:rsid w:val="227B217D"/>
    <w:rsid w:val="227B2E7C"/>
    <w:rsid w:val="227B493D"/>
    <w:rsid w:val="227C22A9"/>
    <w:rsid w:val="227C43FF"/>
    <w:rsid w:val="227E6DCD"/>
    <w:rsid w:val="22834863"/>
    <w:rsid w:val="22AF0B03"/>
    <w:rsid w:val="22B1598E"/>
    <w:rsid w:val="22B3517E"/>
    <w:rsid w:val="22BA3BAD"/>
    <w:rsid w:val="22C40F57"/>
    <w:rsid w:val="22CC3FBB"/>
    <w:rsid w:val="22D62F45"/>
    <w:rsid w:val="22D86942"/>
    <w:rsid w:val="22DB748A"/>
    <w:rsid w:val="22E317D6"/>
    <w:rsid w:val="22E44202"/>
    <w:rsid w:val="22E90FEA"/>
    <w:rsid w:val="22F63B66"/>
    <w:rsid w:val="22F73646"/>
    <w:rsid w:val="22FA30ED"/>
    <w:rsid w:val="22FD074A"/>
    <w:rsid w:val="22FD5433"/>
    <w:rsid w:val="23067226"/>
    <w:rsid w:val="231224B0"/>
    <w:rsid w:val="23207208"/>
    <w:rsid w:val="23280E1D"/>
    <w:rsid w:val="232C3617"/>
    <w:rsid w:val="232E2C8D"/>
    <w:rsid w:val="233765B8"/>
    <w:rsid w:val="233E5A4D"/>
    <w:rsid w:val="234241F8"/>
    <w:rsid w:val="23437086"/>
    <w:rsid w:val="2345250F"/>
    <w:rsid w:val="23471626"/>
    <w:rsid w:val="23474527"/>
    <w:rsid w:val="234B0AA6"/>
    <w:rsid w:val="234D4690"/>
    <w:rsid w:val="23631AA5"/>
    <w:rsid w:val="236E4B3E"/>
    <w:rsid w:val="237C4FD3"/>
    <w:rsid w:val="238F61B0"/>
    <w:rsid w:val="239D0DA0"/>
    <w:rsid w:val="23A579EF"/>
    <w:rsid w:val="23A91007"/>
    <w:rsid w:val="23AC5873"/>
    <w:rsid w:val="23B42381"/>
    <w:rsid w:val="23C323AD"/>
    <w:rsid w:val="23C33D86"/>
    <w:rsid w:val="23C50EBC"/>
    <w:rsid w:val="23C605A0"/>
    <w:rsid w:val="23CB2EB7"/>
    <w:rsid w:val="23D15303"/>
    <w:rsid w:val="23E168C8"/>
    <w:rsid w:val="23E96424"/>
    <w:rsid w:val="23EA5719"/>
    <w:rsid w:val="23EC6601"/>
    <w:rsid w:val="23F0420C"/>
    <w:rsid w:val="23F63334"/>
    <w:rsid w:val="240109AF"/>
    <w:rsid w:val="24034507"/>
    <w:rsid w:val="240C5F4F"/>
    <w:rsid w:val="24137C68"/>
    <w:rsid w:val="24155A0F"/>
    <w:rsid w:val="24204B94"/>
    <w:rsid w:val="242D09BB"/>
    <w:rsid w:val="2430254A"/>
    <w:rsid w:val="24353EA7"/>
    <w:rsid w:val="243E456A"/>
    <w:rsid w:val="24422BCD"/>
    <w:rsid w:val="2446320A"/>
    <w:rsid w:val="244A5398"/>
    <w:rsid w:val="24530D86"/>
    <w:rsid w:val="24564596"/>
    <w:rsid w:val="24575E86"/>
    <w:rsid w:val="245A4261"/>
    <w:rsid w:val="245A7F98"/>
    <w:rsid w:val="24664904"/>
    <w:rsid w:val="246A0433"/>
    <w:rsid w:val="246E39C1"/>
    <w:rsid w:val="246F01AB"/>
    <w:rsid w:val="24795B8F"/>
    <w:rsid w:val="247A5489"/>
    <w:rsid w:val="247F6E82"/>
    <w:rsid w:val="24837726"/>
    <w:rsid w:val="24845BF9"/>
    <w:rsid w:val="2489673F"/>
    <w:rsid w:val="24932814"/>
    <w:rsid w:val="24987A67"/>
    <w:rsid w:val="249F38BC"/>
    <w:rsid w:val="24A36F3B"/>
    <w:rsid w:val="24A74FC4"/>
    <w:rsid w:val="24B61287"/>
    <w:rsid w:val="24C50181"/>
    <w:rsid w:val="24C6543E"/>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B48E7"/>
    <w:rsid w:val="265E4818"/>
    <w:rsid w:val="265F0495"/>
    <w:rsid w:val="265F59FB"/>
    <w:rsid w:val="266555A1"/>
    <w:rsid w:val="26674798"/>
    <w:rsid w:val="2669016B"/>
    <w:rsid w:val="267366B5"/>
    <w:rsid w:val="267A50E3"/>
    <w:rsid w:val="26A61A31"/>
    <w:rsid w:val="26A979B6"/>
    <w:rsid w:val="26AE5365"/>
    <w:rsid w:val="26B01E3E"/>
    <w:rsid w:val="26B506F6"/>
    <w:rsid w:val="26CB4EC9"/>
    <w:rsid w:val="26CC4EED"/>
    <w:rsid w:val="26DD5ADB"/>
    <w:rsid w:val="26DE6381"/>
    <w:rsid w:val="26E25FB5"/>
    <w:rsid w:val="26E43629"/>
    <w:rsid w:val="26E80BEB"/>
    <w:rsid w:val="26ED06D9"/>
    <w:rsid w:val="26ED270B"/>
    <w:rsid w:val="26F07E40"/>
    <w:rsid w:val="26F207AC"/>
    <w:rsid w:val="270636C6"/>
    <w:rsid w:val="270917B9"/>
    <w:rsid w:val="270B24B1"/>
    <w:rsid w:val="271640FF"/>
    <w:rsid w:val="27203B3F"/>
    <w:rsid w:val="27261664"/>
    <w:rsid w:val="272A5204"/>
    <w:rsid w:val="273534DB"/>
    <w:rsid w:val="27355906"/>
    <w:rsid w:val="27456A2D"/>
    <w:rsid w:val="275609E0"/>
    <w:rsid w:val="27603599"/>
    <w:rsid w:val="276C3B61"/>
    <w:rsid w:val="278C3909"/>
    <w:rsid w:val="27940BAD"/>
    <w:rsid w:val="27982067"/>
    <w:rsid w:val="27991B1F"/>
    <w:rsid w:val="279F0993"/>
    <w:rsid w:val="27A95161"/>
    <w:rsid w:val="27AA1A34"/>
    <w:rsid w:val="27BD1C0D"/>
    <w:rsid w:val="27D1143A"/>
    <w:rsid w:val="27D41A55"/>
    <w:rsid w:val="27DC4A80"/>
    <w:rsid w:val="27DD0A5A"/>
    <w:rsid w:val="27E25B20"/>
    <w:rsid w:val="27E43F04"/>
    <w:rsid w:val="27EA52BA"/>
    <w:rsid w:val="27EB33AE"/>
    <w:rsid w:val="27EC7621"/>
    <w:rsid w:val="27EE405D"/>
    <w:rsid w:val="27EF0B98"/>
    <w:rsid w:val="27F12F64"/>
    <w:rsid w:val="27F3735C"/>
    <w:rsid w:val="27F47CC7"/>
    <w:rsid w:val="280C36A8"/>
    <w:rsid w:val="281F1DE5"/>
    <w:rsid w:val="2820368C"/>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B654C"/>
    <w:rsid w:val="29055D42"/>
    <w:rsid w:val="29061CE7"/>
    <w:rsid w:val="29100FAE"/>
    <w:rsid w:val="29114A42"/>
    <w:rsid w:val="291214CA"/>
    <w:rsid w:val="29162F5A"/>
    <w:rsid w:val="291E1FF1"/>
    <w:rsid w:val="2920423B"/>
    <w:rsid w:val="2931714B"/>
    <w:rsid w:val="2952249E"/>
    <w:rsid w:val="29536D65"/>
    <w:rsid w:val="295423C6"/>
    <w:rsid w:val="29552A6A"/>
    <w:rsid w:val="29626740"/>
    <w:rsid w:val="2983678D"/>
    <w:rsid w:val="29906E90"/>
    <w:rsid w:val="29907280"/>
    <w:rsid w:val="299D31D6"/>
    <w:rsid w:val="29A90979"/>
    <w:rsid w:val="29AC0439"/>
    <w:rsid w:val="29AD7277"/>
    <w:rsid w:val="29B3178A"/>
    <w:rsid w:val="29BB1CA5"/>
    <w:rsid w:val="29BC445F"/>
    <w:rsid w:val="29BD52CC"/>
    <w:rsid w:val="29C323D1"/>
    <w:rsid w:val="29C92FE8"/>
    <w:rsid w:val="29D25637"/>
    <w:rsid w:val="29D977F6"/>
    <w:rsid w:val="29DA7DD5"/>
    <w:rsid w:val="29E67349"/>
    <w:rsid w:val="29E74C01"/>
    <w:rsid w:val="29FD37E2"/>
    <w:rsid w:val="2A040F28"/>
    <w:rsid w:val="2A053652"/>
    <w:rsid w:val="2A067415"/>
    <w:rsid w:val="2A0800E5"/>
    <w:rsid w:val="2A0A2044"/>
    <w:rsid w:val="2A0F4C0F"/>
    <w:rsid w:val="2A11085A"/>
    <w:rsid w:val="2A1A3866"/>
    <w:rsid w:val="2A1E00C4"/>
    <w:rsid w:val="2A212DCF"/>
    <w:rsid w:val="2A266B79"/>
    <w:rsid w:val="2A2D10E2"/>
    <w:rsid w:val="2A406D3A"/>
    <w:rsid w:val="2A407645"/>
    <w:rsid w:val="2A505939"/>
    <w:rsid w:val="2A50703B"/>
    <w:rsid w:val="2A516190"/>
    <w:rsid w:val="2A6E29BB"/>
    <w:rsid w:val="2A807789"/>
    <w:rsid w:val="2A883834"/>
    <w:rsid w:val="2A890DB5"/>
    <w:rsid w:val="2A8A1C08"/>
    <w:rsid w:val="2A944304"/>
    <w:rsid w:val="2A9643ED"/>
    <w:rsid w:val="2A990863"/>
    <w:rsid w:val="2AAB5425"/>
    <w:rsid w:val="2AB6393F"/>
    <w:rsid w:val="2AB64675"/>
    <w:rsid w:val="2AB93405"/>
    <w:rsid w:val="2AC278D2"/>
    <w:rsid w:val="2ACD1432"/>
    <w:rsid w:val="2ACE7EEE"/>
    <w:rsid w:val="2AE46B6C"/>
    <w:rsid w:val="2AE82840"/>
    <w:rsid w:val="2AF87713"/>
    <w:rsid w:val="2B092A12"/>
    <w:rsid w:val="2B0B32F9"/>
    <w:rsid w:val="2B19698C"/>
    <w:rsid w:val="2B316792"/>
    <w:rsid w:val="2B3757F4"/>
    <w:rsid w:val="2B3D32F0"/>
    <w:rsid w:val="2B401DDD"/>
    <w:rsid w:val="2B440D8C"/>
    <w:rsid w:val="2B4F6804"/>
    <w:rsid w:val="2B5E3E79"/>
    <w:rsid w:val="2B5F165B"/>
    <w:rsid w:val="2B6646F0"/>
    <w:rsid w:val="2B677DF3"/>
    <w:rsid w:val="2B6E711F"/>
    <w:rsid w:val="2B706312"/>
    <w:rsid w:val="2B71279D"/>
    <w:rsid w:val="2B741BA7"/>
    <w:rsid w:val="2B751AF7"/>
    <w:rsid w:val="2B7C50EB"/>
    <w:rsid w:val="2B7D26FA"/>
    <w:rsid w:val="2B8127E6"/>
    <w:rsid w:val="2B8166A2"/>
    <w:rsid w:val="2B8A79C9"/>
    <w:rsid w:val="2B9C1E8E"/>
    <w:rsid w:val="2B9D707E"/>
    <w:rsid w:val="2BA02DD7"/>
    <w:rsid w:val="2BA40FEE"/>
    <w:rsid w:val="2BA70E5D"/>
    <w:rsid w:val="2BA936AA"/>
    <w:rsid w:val="2BAA3309"/>
    <w:rsid w:val="2BB05B8F"/>
    <w:rsid w:val="2BC33373"/>
    <w:rsid w:val="2BC44F76"/>
    <w:rsid w:val="2BCF11F0"/>
    <w:rsid w:val="2BCF3259"/>
    <w:rsid w:val="2BD27DB4"/>
    <w:rsid w:val="2BD929CC"/>
    <w:rsid w:val="2BDB2C17"/>
    <w:rsid w:val="2BED4507"/>
    <w:rsid w:val="2BF94C03"/>
    <w:rsid w:val="2BFA2D07"/>
    <w:rsid w:val="2C0A62D3"/>
    <w:rsid w:val="2C100C68"/>
    <w:rsid w:val="2C1B19CF"/>
    <w:rsid w:val="2C2F2AC9"/>
    <w:rsid w:val="2C316DB2"/>
    <w:rsid w:val="2C324612"/>
    <w:rsid w:val="2C3A29A8"/>
    <w:rsid w:val="2C4053CD"/>
    <w:rsid w:val="2C474372"/>
    <w:rsid w:val="2C4D6410"/>
    <w:rsid w:val="2C4E5281"/>
    <w:rsid w:val="2C4E7CEA"/>
    <w:rsid w:val="2C506EE9"/>
    <w:rsid w:val="2C5246A6"/>
    <w:rsid w:val="2C5E27E1"/>
    <w:rsid w:val="2C5E3727"/>
    <w:rsid w:val="2C677685"/>
    <w:rsid w:val="2C771849"/>
    <w:rsid w:val="2C7F3AC3"/>
    <w:rsid w:val="2C806B61"/>
    <w:rsid w:val="2C981A73"/>
    <w:rsid w:val="2C9F3440"/>
    <w:rsid w:val="2CA1068F"/>
    <w:rsid w:val="2CD23532"/>
    <w:rsid w:val="2CD81019"/>
    <w:rsid w:val="2CE074B2"/>
    <w:rsid w:val="2CEC6471"/>
    <w:rsid w:val="2CEF1368"/>
    <w:rsid w:val="2D0C15E0"/>
    <w:rsid w:val="2D1A3816"/>
    <w:rsid w:val="2D1E7CD5"/>
    <w:rsid w:val="2D2140D4"/>
    <w:rsid w:val="2D2519AA"/>
    <w:rsid w:val="2D2C4AF5"/>
    <w:rsid w:val="2D3523C5"/>
    <w:rsid w:val="2D3D77C2"/>
    <w:rsid w:val="2D4957EB"/>
    <w:rsid w:val="2D4F527C"/>
    <w:rsid w:val="2D5233D5"/>
    <w:rsid w:val="2D536F88"/>
    <w:rsid w:val="2D64342C"/>
    <w:rsid w:val="2D644C4A"/>
    <w:rsid w:val="2D810A54"/>
    <w:rsid w:val="2D880A3C"/>
    <w:rsid w:val="2D914D1C"/>
    <w:rsid w:val="2DA17515"/>
    <w:rsid w:val="2DA64F75"/>
    <w:rsid w:val="2DAE5715"/>
    <w:rsid w:val="2DC056BD"/>
    <w:rsid w:val="2DCE3801"/>
    <w:rsid w:val="2DE865BD"/>
    <w:rsid w:val="2DEB07E9"/>
    <w:rsid w:val="2DED3C53"/>
    <w:rsid w:val="2DEE050F"/>
    <w:rsid w:val="2E051880"/>
    <w:rsid w:val="2E066B08"/>
    <w:rsid w:val="2E0E1190"/>
    <w:rsid w:val="2E1347C8"/>
    <w:rsid w:val="2E187D65"/>
    <w:rsid w:val="2E1F0139"/>
    <w:rsid w:val="2E250A70"/>
    <w:rsid w:val="2E305321"/>
    <w:rsid w:val="2E330E8B"/>
    <w:rsid w:val="2E343FDD"/>
    <w:rsid w:val="2E3527A8"/>
    <w:rsid w:val="2E4479FA"/>
    <w:rsid w:val="2E4D1A9C"/>
    <w:rsid w:val="2E513D84"/>
    <w:rsid w:val="2E65466F"/>
    <w:rsid w:val="2E674998"/>
    <w:rsid w:val="2E697217"/>
    <w:rsid w:val="2E6E72F2"/>
    <w:rsid w:val="2E7040AC"/>
    <w:rsid w:val="2E706855"/>
    <w:rsid w:val="2E73460F"/>
    <w:rsid w:val="2E74345D"/>
    <w:rsid w:val="2E7A4401"/>
    <w:rsid w:val="2E7E36F8"/>
    <w:rsid w:val="2E835422"/>
    <w:rsid w:val="2E890E14"/>
    <w:rsid w:val="2E8C20BC"/>
    <w:rsid w:val="2E8F5E99"/>
    <w:rsid w:val="2E922DA3"/>
    <w:rsid w:val="2E9F265E"/>
    <w:rsid w:val="2EA61C72"/>
    <w:rsid w:val="2EA70603"/>
    <w:rsid w:val="2EB05E82"/>
    <w:rsid w:val="2EB435CD"/>
    <w:rsid w:val="2EB83EB8"/>
    <w:rsid w:val="2EC008F0"/>
    <w:rsid w:val="2EC54539"/>
    <w:rsid w:val="2EC71DAF"/>
    <w:rsid w:val="2EC93C48"/>
    <w:rsid w:val="2EDF0930"/>
    <w:rsid w:val="2EEA73AF"/>
    <w:rsid w:val="2EEB093D"/>
    <w:rsid w:val="2EF73395"/>
    <w:rsid w:val="2F133CFD"/>
    <w:rsid w:val="2F1519EB"/>
    <w:rsid w:val="2F190A69"/>
    <w:rsid w:val="2F193C16"/>
    <w:rsid w:val="2F1F01FE"/>
    <w:rsid w:val="2F1F3CBF"/>
    <w:rsid w:val="2F225061"/>
    <w:rsid w:val="2F234949"/>
    <w:rsid w:val="2F323B43"/>
    <w:rsid w:val="2F44008B"/>
    <w:rsid w:val="2F7B650E"/>
    <w:rsid w:val="2F830060"/>
    <w:rsid w:val="2F87657B"/>
    <w:rsid w:val="2F8901FB"/>
    <w:rsid w:val="2F8D1523"/>
    <w:rsid w:val="2F983FFB"/>
    <w:rsid w:val="2F9E5006"/>
    <w:rsid w:val="2FA23978"/>
    <w:rsid w:val="2FAE4E31"/>
    <w:rsid w:val="2FAE7190"/>
    <w:rsid w:val="2FB52B44"/>
    <w:rsid w:val="2FBC74E0"/>
    <w:rsid w:val="2FD070E4"/>
    <w:rsid w:val="2FD13B51"/>
    <w:rsid w:val="2FD213D2"/>
    <w:rsid w:val="2FE32A99"/>
    <w:rsid w:val="2FE96701"/>
    <w:rsid w:val="2FEA5B08"/>
    <w:rsid w:val="30036934"/>
    <w:rsid w:val="300762C4"/>
    <w:rsid w:val="300F137D"/>
    <w:rsid w:val="302374AB"/>
    <w:rsid w:val="302C16E1"/>
    <w:rsid w:val="30326E67"/>
    <w:rsid w:val="303760BE"/>
    <w:rsid w:val="303D1568"/>
    <w:rsid w:val="3044343B"/>
    <w:rsid w:val="304527A5"/>
    <w:rsid w:val="305460EA"/>
    <w:rsid w:val="30572BB4"/>
    <w:rsid w:val="30681CC3"/>
    <w:rsid w:val="306D2B7A"/>
    <w:rsid w:val="306D4999"/>
    <w:rsid w:val="306D542C"/>
    <w:rsid w:val="30711214"/>
    <w:rsid w:val="307F4A07"/>
    <w:rsid w:val="308B4DA9"/>
    <w:rsid w:val="308E118F"/>
    <w:rsid w:val="308E22B7"/>
    <w:rsid w:val="309C3126"/>
    <w:rsid w:val="30B05106"/>
    <w:rsid w:val="30BC2D2F"/>
    <w:rsid w:val="30C758D5"/>
    <w:rsid w:val="30C80454"/>
    <w:rsid w:val="30D06476"/>
    <w:rsid w:val="30D42566"/>
    <w:rsid w:val="30D44FBC"/>
    <w:rsid w:val="30E720CF"/>
    <w:rsid w:val="30FC29F6"/>
    <w:rsid w:val="3101026D"/>
    <w:rsid w:val="31061199"/>
    <w:rsid w:val="31173BBE"/>
    <w:rsid w:val="311A5DEA"/>
    <w:rsid w:val="311C73B4"/>
    <w:rsid w:val="311F55F5"/>
    <w:rsid w:val="312B2EBD"/>
    <w:rsid w:val="314E0F4E"/>
    <w:rsid w:val="31581D78"/>
    <w:rsid w:val="31585E6C"/>
    <w:rsid w:val="31620B84"/>
    <w:rsid w:val="316745CA"/>
    <w:rsid w:val="31676970"/>
    <w:rsid w:val="316E7DD8"/>
    <w:rsid w:val="31702300"/>
    <w:rsid w:val="31707560"/>
    <w:rsid w:val="318C0E73"/>
    <w:rsid w:val="318F003A"/>
    <w:rsid w:val="31B355BA"/>
    <w:rsid w:val="31BD0830"/>
    <w:rsid w:val="31BE70A8"/>
    <w:rsid w:val="31C14A52"/>
    <w:rsid w:val="31C34017"/>
    <w:rsid w:val="31CA1D58"/>
    <w:rsid w:val="31CB7D83"/>
    <w:rsid w:val="31D16DDA"/>
    <w:rsid w:val="31D637B7"/>
    <w:rsid w:val="31DC16AE"/>
    <w:rsid w:val="31DD2943"/>
    <w:rsid w:val="31E82BAD"/>
    <w:rsid w:val="31EC21E0"/>
    <w:rsid w:val="31EC6B98"/>
    <w:rsid w:val="31ED3C6D"/>
    <w:rsid w:val="31EE50F1"/>
    <w:rsid w:val="32100AA3"/>
    <w:rsid w:val="32144C3D"/>
    <w:rsid w:val="321C3051"/>
    <w:rsid w:val="321E6C8D"/>
    <w:rsid w:val="32232654"/>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C29FA"/>
    <w:rsid w:val="32925304"/>
    <w:rsid w:val="32A02C24"/>
    <w:rsid w:val="32A12270"/>
    <w:rsid w:val="32A22B2D"/>
    <w:rsid w:val="32A41D46"/>
    <w:rsid w:val="32AD79D4"/>
    <w:rsid w:val="32BB2978"/>
    <w:rsid w:val="32C35081"/>
    <w:rsid w:val="32C46ECF"/>
    <w:rsid w:val="32C84D5E"/>
    <w:rsid w:val="32CA45DA"/>
    <w:rsid w:val="32CB472B"/>
    <w:rsid w:val="32E130E4"/>
    <w:rsid w:val="32E602F9"/>
    <w:rsid w:val="32EF4EC7"/>
    <w:rsid w:val="32F73847"/>
    <w:rsid w:val="33076A47"/>
    <w:rsid w:val="33094A27"/>
    <w:rsid w:val="330E2871"/>
    <w:rsid w:val="331B37A4"/>
    <w:rsid w:val="332D6456"/>
    <w:rsid w:val="333047F6"/>
    <w:rsid w:val="33425434"/>
    <w:rsid w:val="33447FF3"/>
    <w:rsid w:val="334C45DC"/>
    <w:rsid w:val="334F12F8"/>
    <w:rsid w:val="336A74F6"/>
    <w:rsid w:val="33761924"/>
    <w:rsid w:val="337769C1"/>
    <w:rsid w:val="33782F22"/>
    <w:rsid w:val="337C3B1F"/>
    <w:rsid w:val="33984C51"/>
    <w:rsid w:val="33B07FB1"/>
    <w:rsid w:val="33BF504E"/>
    <w:rsid w:val="33C602F8"/>
    <w:rsid w:val="33D27EA4"/>
    <w:rsid w:val="33D459C9"/>
    <w:rsid w:val="33DA16C6"/>
    <w:rsid w:val="33DB56AE"/>
    <w:rsid w:val="33EA51EB"/>
    <w:rsid w:val="33EB1DDE"/>
    <w:rsid w:val="33F27C70"/>
    <w:rsid w:val="33FB611F"/>
    <w:rsid w:val="340261E9"/>
    <w:rsid w:val="34067473"/>
    <w:rsid w:val="3410297C"/>
    <w:rsid w:val="34191773"/>
    <w:rsid w:val="341969E5"/>
    <w:rsid w:val="341C0DF9"/>
    <w:rsid w:val="341D5C5A"/>
    <w:rsid w:val="341E5ABB"/>
    <w:rsid w:val="342330D5"/>
    <w:rsid w:val="34294D0B"/>
    <w:rsid w:val="342C34CE"/>
    <w:rsid w:val="342C3E32"/>
    <w:rsid w:val="342F548A"/>
    <w:rsid w:val="34316709"/>
    <w:rsid w:val="34360D07"/>
    <w:rsid w:val="343867BA"/>
    <w:rsid w:val="34520356"/>
    <w:rsid w:val="34527C61"/>
    <w:rsid w:val="345430D2"/>
    <w:rsid w:val="34660FEA"/>
    <w:rsid w:val="34753C76"/>
    <w:rsid w:val="347C09B4"/>
    <w:rsid w:val="348204F6"/>
    <w:rsid w:val="34A32535"/>
    <w:rsid w:val="34A54D1F"/>
    <w:rsid w:val="34A74F24"/>
    <w:rsid w:val="34A75CA9"/>
    <w:rsid w:val="34A93B2F"/>
    <w:rsid w:val="34C80D42"/>
    <w:rsid w:val="34CB1BE2"/>
    <w:rsid w:val="34CF55D8"/>
    <w:rsid w:val="34DA4CC4"/>
    <w:rsid w:val="34DD2BAF"/>
    <w:rsid w:val="34E22C82"/>
    <w:rsid w:val="34ED554C"/>
    <w:rsid w:val="351672B5"/>
    <w:rsid w:val="353107AD"/>
    <w:rsid w:val="35393E10"/>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94320"/>
    <w:rsid w:val="359E7B73"/>
    <w:rsid w:val="35A82021"/>
    <w:rsid w:val="35BA098C"/>
    <w:rsid w:val="35CB4149"/>
    <w:rsid w:val="35D11D44"/>
    <w:rsid w:val="35DF560D"/>
    <w:rsid w:val="35EC0EA5"/>
    <w:rsid w:val="35EC4BB5"/>
    <w:rsid w:val="35F607C1"/>
    <w:rsid w:val="35F70CA7"/>
    <w:rsid w:val="360457CD"/>
    <w:rsid w:val="360C48D4"/>
    <w:rsid w:val="3614666F"/>
    <w:rsid w:val="362122CF"/>
    <w:rsid w:val="36216492"/>
    <w:rsid w:val="362175E3"/>
    <w:rsid w:val="36233A56"/>
    <w:rsid w:val="362F33A6"/>
    <w:rsid w:val="363227C3"/>
    <w:rsid w:val="36330800"/>
    <w:rsid w:val="36393F82"/>
    <w:rsid w:val="363C1F19"/>
    <w:rsid w:val="364A6A7B"/>
    <w:rsid w:val="364C2240"/>
    <w:rsid w:val="365518A9"/>
    <w:rsid w:val="36574062"/>
    <w:rsid w:val="365C5345"/>
    <w:rsid w:val="3665488E"/>
    <w:rsid w:val="366672BA"/>
    <w:rsid w:val="3666775F"/>
    <w:rsid w:val="366A1EAC"/>
    <w:rsid w:val="36704B65"/>
    <w:rsid w:val="367430D7"/>
    <w:rsid w:val="367D3F38"/>
    <w:rsid w:val="36824ABE"/>
    <w:rsid w:val="3692271C"/>
    <w:rsid w:val="369806BA"/>
    <w:rsid w:val="36AD5640"/>
    <w:rsid w:val="36B27F41"/>
    <w:rsid w:val="36B74128"/>
    <w:rsid w:val="36B75C3F"/>
    <w:rsid w:val="36BB0857"/>
    <w:rsid w:val="36BF22F7"/>
    <w:rsid w:val="36C6112D"/>
    <w:rsid w:val="36C67CFC"/>
    <w:rsid w:val="36CE0615"/>
    <w:rsid w:val="36D636A6"/>
    <w:rsid w:val="36DD6F02"/>
    <w:rsid w:val="36DE0625"/>
    <w:rsid w:val="36DF0173"/>
    <w:rsid w:val="36E11701"/>
    <w:rsid w:val="36E33C92"/>
    <w:rsid w:val="36F01770"/>
    <w:rsid w:val="36FC4342"/>
    <w:rsid w:val="36FE7799"/>
    <w:rsid w:val="37020EE5"/>
    <w:rsid w:val="37033967"/>
    <w:rsid w:val="370400AC"/>
    <w:rsid w:val="371216BA"/>
    <w:rsid w:val="37170AC6"/>
    <w:rsid w:val="371F5775"/>
    <w:rsid w:val="37206C3F"/>
    <w:rsid w:val="372F4814"/>
    <w:rsid w:val="373767EC"/>
    <w:rsid w:val="373F329C"/>
    <w:rsid w:val="37404B82"/>
    <w:rsid w:val="37463B73"/>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C5A8E"/>
    <w:rsid w:val="37B62A54"/>
    <w:rsid w:val="37B936C4"/>
    <w:rsid w:val="37BA6B56"/>
    <w:rsid w:val="37C9011D"/>
    <w:rsid w:val="37D2221A"/>
    <w:rsid w:val="37DF18DD"/>
    <w:rsid w:val="37EB3320"/>
    <w:rsid w:val="37F452A2"/>
    <w:rsid w:val="37F712EB"/>
    <w:rsid w:val="37FA6EB5"/>
    <w:rsid w:val="37FC639E"/>
    <w:rsid w:val="38021F61"/>
    <w:rsid w:val="38213155"/>
    <w:rsid w:val="382D6266"/>
    <w:rsid w:val="38384B17"/>
    <w:rsid w:val="383D51B0"/>
    <w:rsid w:val="38436373"/>
    <w:rsid w:val="38450810"/>
    <w:rsid w:val="38453910"/>
    <w:rsid w:val="384B2FBB"/>
    <w:rsid w:val="384D1481"/>
    <w:rsid w:val="384E5140"/>
    <w:rsid w:val="385118AB"/>
    <w:rsid w:val="385A61A1"/>
    <w:rsid w:val="386B41E2"/>
    <w:rsid w:val="3871591E"/>
    <w:rsid w:val="388103A2"/>
    <w:rsid w:val="388162ED"/>
    <w:rsid w:val="38856EBC"/>
    <w:rsid w:val="3888376D"/>
    <w:rsid w:val="389103F7"/>
    <w:rsid w:val="389C3B40"/>
    <w:rsid w:val="38A117C3"/>
    <w:rsid w:val="38A173CA"/>
    <w:rsid w:val="38A81596"/>
    <w:rsid w:val="38AD4835"/>
    <w:rsid w:val="38BA0149"/>
    <w:rsid w:val="38C1630C"/>
    <w:rsid w:val="38CE0EEF"/>
    <w:rsid w:val="38D206AA"/>
    <w:rsid w:val="38D549D7"/>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201713"/>
    <w:rsid w:val="392C383E"/>
    <w:rsid w:val="39303C12"/>
    <w:rsid w:val="393A1A2A"/>
    <w:rsid w:val="393A260D"/>
    <w:rsid w:val="393B332E"/>
    <w:rsid w:val="393D35E7"/>
    <w:rsid w:val="394234B3"/>
    <w:rsid w:val="39527E57"/>
    <w:rsid w:val="395A2776"/>
    <w:rsid w:val="39611B00"/>
    <w:rsid w:val="39631067"/>
    <w:rsid w:val="39642E83"/>
    <w:rsid w:val="396A2289"/>
    <w:rsid w:val="396C772F"/>
    <w:rsid w:val="397823CD"/>
    <w:rsid w:val="397863A0"/>
    <w:rsid w:val="397C1DA9"/>
    <w:rsid w:val="397C47E7"/>
    <w:rsid w:val="39825F39"/>
    <w:rsid w:val="39826044"/>
    <w:rsid w:val="398C15D5"/>
    <w:rsid w:val="399A42B3"/>
    <w:rsid w:val="399F6BF2"/>
    <w:rsid w:val="39AC7FB9"/>
    <w:rsid w:val="39C13BDE"/>
    <w:rsid w:val="39CD394E"/>
    <w:rsid w:val="39D7602C"/>
    <w:rsid w:val="39E46CE2"/>
    <w:rsid w:val="39E6596C"/>
    <w:rsid w:val="39F55613"/>
    <w:rsid w:val="39FA4F95"/>
    <w:rsid w:val="3A0C1ED6"/>
    <w:rsid w:val="3A1A3CE0"/>
    <w:rsid w:val="3A320C69"/>
    <w:rsid w:val="3A381454"/>
    <w:rsid w:val="3A38627D"/>
    <w:rsid w:val="3A3A7804"/>
    <w:rsid w:val="3A3F482E"/>
    <w:rsid w:val="3A456D61"/>
    <w:rsid w:val="3A4F6FF7"/>
    <w:rsid w:val="3A517B3B"/>
    <w:rsid w:val="3A5D40AF"/>
    <w:rsid w:val="3A6245ED"/>
    <w:rsid w:val="3A7C1DAA"/>
    <w:rsid w:val="3A7F7477"/>
    <w:rsid w:val="3A8B1BB3"/>
    <w:rsid w:val="3A954317"/>
    <w:rsid w:val="3A9773B6"/>
    <w:rsid w:val="3AA15361"/>
    <w:rsid w:val="3AA84305"/>
    <w:rsid w:val="3AAC35F1"/>
    <w:rsid w:val="3AB01069"/>
    <w:rsid w:val="3AB02249"/>
    <w:rsid w:val="3AB5351D"/>
    <w:rsid w:val="3ABA4B1F"/>
    <w:rsid w:val="3ABB7710"/>
    <w:rsid w:val="3AC0379E"/>
    <w:rsid w:val="3AC03987"/>
    <w:rsid w:val="3ACB2AB8"/>
    <w:rsid w:val="3ACB494E"/>
    <w:rsid w:val="3AD41041"/>
    <w:rsid w:val="3AD63BB3"/>
    <w:rsid w:val="3AE95E7B"/>
    <w:rsid w:val="3AEA1793"/>
    <w:rsid w:val="3AF05F28"/>
    <w:rsid w:val="3AF77FC2"/>
    <w:rsid w:val="3B04631F"/>
    <w:rsid w:val="3B135593"/>
    <w:rsid w:val="3B1D5FF2"/>
    <w:rsid w:val="3B247E7A"/>
    <w:rsid w:val="3B2D077B"/>
    <w:rsid w:val="3B313B50"/>
    <w:rsid w:val="3B3301EA"/>
    <w:rsid w:val="3B371FAF"/>
    <w:rsid w:val="3B3F68A0"/>
    <w:rsid w:val="3B406223"/>
    <w:rsid w:val="3B411C83"/>
    <w:rsid w:val="3B437575"/>
    <w:rsid w:val="3B445A14"/>
    <w:rsid w:val="3B510099"/>
    <w:rsid w:val="3B554A7E"/>
    <w:rsid w:val="3B5A3C2B"/>
    <w:rsid w:val="3B5B35CC"/>
    <w:rsid w:val="3B6A7FA4"/>
    <w:rsid w:val="3B7D1DE3"/>
    <w:rsid w:val="3B8758EE"/>
    <w:rsid w:val="3B8D2F36"/>
    <w:rsid w:val="3BAB563B"/>
    <w:rsid w:val="3BB53769"/>
    <w:rsid w:val="3BB902BF"/>
    <w:rsid w:val="3BB93320"/>
    <w:rsid w:val="3BBB0270"/>
    <w:rsid w:val="3BBE57B7"/>
    <w:rsid w:val="3BBF1D20"/>
    <w:rsid w:val="3BCA0EF8"/>
    <w:rsid w:val="3BCC37BF"/>
    <w:rsid w:val="3BD34132"/>
    <w:rsid w:val="3BE455A3"/>
    <w:rsid w:val="3BEB1216"/>
    <w:rsid w:val="3BEC3365"/>
    <w:rsid w:val="3BF14BAD"/>
    <w:rsid w:val="3BFB4FD3"/>
    <w:rsid w:val="3BFE22E7"/>
    <w:rsid w:val="3C0278F1"/>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F3656"/>
    <w:rsid w:val="3CB9591F"/>
    <w:rsid w:val="3CCA684F"/>
    <w:rsid w:val="3CD87CE5"/>
    <w:rsid w:val="3CDB68D4"/>
    <w:rsid w:val="3CF810D4"/>
    <w:rsid w:val="3CF878B5"/>
    <w:rsid w:val="3CFA31FE"/>
    <w:rsid w:val="3D1665CB"/>
    <w:rsid w:val="3D1D0816"/>
    <w:rsid w:val="3D1F05EA"/>
    <w:rsid w:val="3D263D34"/>
    <w:rsid w:val="3D2820F7"/>
    <w:rsid w:val="3D292B9B"/>
    <w:rsid w:val="3D362589"/>
    <w:rsid w:val="3D3B7E48"/>
    <w:rsid w:val="3D4A4187"/>
    <w:rsid w:val="3D5331A4"/>
    <w:rsid w:val="3D6515EC"/>
    <w:rsid w:val="3D757BFC"/>
    <w:rsid w:val="3D78217F"/>
    <w:rsid w:val="3D7B110C"/>
    <w:rsid w:val="3D7B2B7D"/>
    <w:rsid w:val="3D7F5027"/>
    <w:rsid w:val="3D822306"/>
    <w:rsid w:val="3D846601"/>
    <w:rsid w:val="3D8D4C5B"/>
    <w:rsid w:val="3D990950"/>
    <w:rsid w:val="3D9B563C"/>
    <w:rsid w:val="3D9F2F43"/>
    <w:rsid w:val="3DA1484A"/>
    <w:rsid w:val="3DAC7DC3"/>
    <w:rsid w:val="3DB83A86"/>
    <w:rsid w:val="3DD318B1"/>
    <w:rsid w:val="3DD76B16"/>
    <w:rsid w:val="3DE2350A"/>
    <w:rsid w:val="3DEC237A"/>
    <w:rsid w:val="3DEF3E32"/>
    <w:rsid w:val="3DF450ED"/>
    <w:rsid w:val="3E0E748E"/>
    <w:rsid w:val="3E150FB2"/>
    <w:rsid w:val="3E1603DF"/>
    <w:rsid w:val="3E222D17"/>
    <w:rsid w:val="3E2D787A"/>
    <w:rsid w:val="3E3E71BF"/>
    <w:rsid w:val="3E4216BF"/>
    <w:rsid w:val="3E461C13"/>
    <w:rsid w:val="3E492E6F"/>
    <w:rsid w:val="3E4B63C5"/>
    <w:rsid w:val="3E4F5BAD"/>
    <w:rsid w:val="3E5159BC"/>
    <w:rsid w:val="3E572F6C"/>
    <w:rsid w:val="3E616E0F"/>
    <w:rsid w:val="3E643DC2"/>
    <w:rsid w:val="3E771D73"/>
    <w:rsid w:val="3E7746E4"/>
    <w:rsid w:val="3E796B12"/>
    <w:rsid w:val="3E7A6C51"/>
    <w:rsid w:val="3E7C62F4"/>
    <w:rsid w:val="3E7E75D9"/>
    <w:rsid w:val="3E861A44"/>
    <w:rsid w:val="3E8C5B70"/>
    <w:rsid w:val="3E8E4694"/>
    <w:rsid w:val="3E9F6150"/>
    <w:rsid w:val="3EAC7552"/>
    <w:rsid w:val="3EBB30DC"/>
    <w:rsid w:val="3EBC0187"/>
    <w:rsid w:val="3EC2705F"/>
    <w:rsid w:val="3EC95C36"/>
    <w:rsid w:val="3ED139A0"/>
    <w:rsid w:val="3ED81B0F"/>
    <w:rsid w:val="3ED82985"/>
    <w:rsid w:val="3EE11DB9"/>
    <w:rsid w:val="3EED4169"/>
    <w:rsid w:val="3EFA04CD"/>
    <w:rsid w:val="3F166C85"/>
    <w:rsid w:val="3F1755A2"/>
    <w:rsid w:val="3F19271E"/>
    <w:rsid w:val="3F2174C9"/>
    <w:rsid w:val="3F2539F3"/>
    <w:rsid w:val="3F2667ED"/>
    <w:rsid w:val="3F2E3117"/>
    <w:rsid w:val="3F303D8C"/>
    <w:rsid w:val="3F346FC8"/>
    <w:rsid w:val="3F3D35AE"/>
    <w:rsid w:val="3F436FCE"/>
    <w:rsid w:val="3F562995"/>
    <w:rsid w:val="3F5C2563"/>
    <w:rsid w:val="3F6C7257"/>
    <w:rsid w:val="3F73683D"/>
    <w:rsid w:val="3F8F2470"/>
    <w:rsid w:val="3F924486"/>
    <w:rsid w:val="3F932306"/>
    <w:rsid w:val="3F9D4869"/>
    <w:rsid w:val="3F9D5595"/>
    <w:rsid w:val="3FA776F6"/>
    <w:rsid w:val="3FB0303B"/>
    <w:rsid w:val="3FC75AE9"/>
    <w:rsid w:val="3FCC4417"/>
    <w:rsid w:val="3FCC5A43"/>
    <w:rsid w:val="3FDE71F7"/>
    <w:rsid w:val="3FE10966"/>
    <w:rsid w:val="3FE46DA9"/>
    <w:rsid w:val="3FE5707D"/>
    <w:rsid w:val="3FEA326B"/>
    <w:rsid w:val="400B6168"/>
    <w:rsid w:val="400C2D52"/>
    <w:rsid w:val="400C785D"/>
    <w:rsid w:val="400E69A6"/>
    <w:rsid w:val="40216DA7"/>
    <w:rsid w:val="40237876"/>
    <w:rsid w:val="40306192"/>
    <w:rsid w:val="403071C4"/>
    <w:rsid w:val="4033616A"/>
    <w:rsid w:val="40336E85"/>
    <w:rsid w:val="40386E22"/>
    <w:rsid w:val="403F66AE"/>
    <w:rsid w:val="40616B63"/>
    <w:rsid w:val="40617BFE"/>
    <w:rsid w:val="40795CC3"/>
    <w:rsid w:val="409D37D8"/>
    <w:rsid w:val="40A3094D"/>
    <w:rsid w:val="40A416F9"/>
    <w:rsid w:val="40B871C9"/>
    <w:rsid w:val="40C61BF7"/>
    <w:rsid w:val="40CE4174"/>
    <w:rsid w:val="40CF1488"/>
    <w:rsid w:val="40D20597"/>
    <w:rsid w:val="40D637A8"/>
    <w:rsid w:val="40DC577F"/>
    <w:rsid w:val="40DF4DD7"/>
    <w:rsid w:val="40E55521"/>
    <w:rsid w:val="40E639A3"/>
    <w:rsid w:val="40FA1D61"/>
    <w:rsid w:val="41113B6A"/>
    <w:rsid w:val="411A46AB"/>
    <w:rsid w:val="412B6BA2"/>
    <w:rsid w:val="412D1718"/>
    <w:rsid w:val="412F213C"/>
    <w:rsid w:val="41301F6B"/>
    <w:rsid w:val="414333E3"/>
    <w:rsid w:val="414B6022"/>
    <w:rsid w:val="41580959"/>
    <w:rsid w:val="416A7BFD"/>
    <w:rsid w:val="41893574"/>
    <w:rsid w:val="419E6C98"/>
    <w:rsid w:val="41A07735"/>
    <w:rsid w:val="41AD0E17"/>
    <w:rsid w:val="41B0442F"/>
    <w:rsid w:val="41B13228"/>
    <w:rsid w:val="41B405AC"/>
    <w:rsid w:val="41B53EBF"/>
    <w:rsid w:val="41BF7790"/>
    <w:rsid w:val="41C14536"/>
    <w:rsid w:val="41CC5A77"/>
    <w:rsid w:val="41D01131"/>
    <w:rsid w:val="41D17B00"/>
    <w:rsid w:val="41E131C3"/>
    <w:rsid w:val="41F40239"/>
    <w:rsid w:val="41F50F1D"/>
    <w:rsid w:val="41FB6A2C"/>
    <w:rsid w:val="42021B25"/>
    <w:rsid w:val="42082D30"/>
    <w:rsid w:val="42151370"/>
    <w:rsid w:val="42164FAF"/>
    <w:rsid w:val="42227B44"/>
    <w:rsid w:val="422B7FE7"/>
    <w:rsid w:val="42347B8C"/>
    <w:rsid w:val="423F58B0"/>
    <w:rsid w:val="424A769B"/>
    <w:rsid w:val="425B4E45"/>
    <w:rsid w:val="426364A4"/>
    <w:rsid w:val="426659CA"/>
    <w:rsid w:val="427D3909"/>
    <w:rsid w:val="42833005"/>
    <w:rsid w:val="428938C8"/>
    <w:rsid w:val="428C0F63"/>
    <w:rsid w:val="42955251"/>
    <w:rsid w:val="42961E1B"/>
    <w:rsid w:val="42AE02FA"/>
    <w:rsid w:val="42B068BB"/>
    <w:rsid w:val="42B468CD"/>
    <w:rsid w:val="42B9429B"/>
    <w:rsid w:val="42B9482F"/>
    <w:rsid w:val="42C52415"/>
    <w:rsid w:val="42C57FE3"/>
    <w:rsid w:val="42CB62AC"/>
    <w:rsid w:val="42D1376A"/>
    <w:rsid w:val="42D62B95"/>
    <w:rsid w:val="42E065DF"/>
    <w:rsid w:val="42E226F1"/>
    <w:rsid w:val="42E51AAB"/>
    <w:rsid w:val="43076250"/>
    <w:rsid w:val="43151F82"/>
    <w:rsid w:val="431A2D7C"/>
    <w:rsid w:val="431C3A29"/>
    <w:rsid w:val="431E5447"/>
    <w:rsid w:val="432670F4"/>
    <w:rsid w:val="432B16EA"/>
    <w:rsid w:val="432B599B"/>
    <w:rsid w:val="43320FE8"/>
    <w:rsid w:val="4339439F"/>
    <w:rsid w:val="43412E19"/>
    <w:rsid w:val="43512293"/>
    <w:rsid w:val="43610390"/>
    <w:rsid w:val="43655414"/>
    <w:rsid w:val="43675C3B"/>
    <w:rsid w:val="436C45D3"/>
    <w:rsid w:val="437E65E4"/>
    <w:rsid w:val="43847800"/>
    <w:rsid w:val="439A4500"/>
    <w:rsid w:val="43A01D15"/>
    <w:rsid w:val="43AD0E3B"/>
    <w:rsid w:val="43B47659"/>
    <w:rsid w:val="43B83F57"/>
    <w:rsid w:val="43C00EC8"/>
    <w:rsid w:val="43C72131"/>
    <w:rsid w:val="43C77416"/>
    <w:rsid w:val="43C86844"/>
    <w:rsid w:val="43CB3585"/>
    <w:rsid w:val="43D17BF0"/>
    <w:rsid w:val="43D32144"/>
    <w:rsid w:val="43D43275"/>
    <w:rsid w:val="43D853C7"/>
    <w:rsid w:val="43D92405"/>
    <w:rsid w:val="43DF5B85"/>
    <w:rsid w:val="43E55CE7"/>
    <w:rsid w:val="43EB7EAE"/>
    <w:rsid w:val="43F17B3E"/>
    <w:rsid w:val="43F52B50"/>
    <w:rsid w:val="440241BD"/>
    <w:rsid w:val="44114BC2"/>
    <w:rsid w:val="444353A3"/>
    <w:rsid w:val="44455FAC"/>
    <w:rsid w:val="444855E4"/>
    <w:rsid w:val="4448573B"/>
    <w:rsid w:val="445B0912"/>
    <w:rsid w:val="44682BB3"/>
    <w:rsid w:val="446919D6"/>
    <w:rsid w:val="446B24E6"/>
    <w:rsid w:val="44751DC9"/>
    <w:rsid w:val="44764BC2"/>
    <w:rsid w:val="447B36F1"/>
    <w:rsid w:val="448306EE"/>
    <w:rsid w:val="44857EF6"/>
    <w:rsid w:val="4491669D"/>
    <w:rsid w:val="449562D2"/>
    <w:rsid w:val="449572B7"/>
    <w:rsid w:val="44980F16"/>
    <w:rsid w:val="44A941C7"/>
    <w:rsid w:val="44AA6EDB"/>
    <w:rsid w:val="44BA3AE9"/>
    <w:rsid w:val="44BB5DB6"/>
    <w:rsid w:val="44C0623F"/>
    <w:rsid w:val="44C941DA"/>
    <w:rsid w:val="44CF4A8C"/>
    <w:rsid w:val="44D63BE3"/>
    <w:rsid w:val="44D95DD7"/>
    <w:rsid w:val="44DA0635"/>
    <w:rsid w:val="44DA2AF6"/>
    <w:rsid w:val="44E55506"/>
    <w:rsid w:val="44ED0BB2"/>
    <w:rsid w:val="44ED40BA"/>
    <w:rsid w:val="44F162A7"/>
    <w:rsid w:val="45013292"/>
    <w:rsid w:val="45021D0A"/>
    <w:rsid w:val="450672C8"/>
    <w:rsid w:val="450A34B2"/>
    <w:rsid w:val="450B6097"/>
    <w:rsid w:val="450D54C5"/>
    <w:rsid w:val="45157186"/>
    <w:rsid w:val="451F6997"/>
    <w:rsid w:val="451F7229"/>
    <w:rsid w:val="45275D3C"/>
    <w:rsid w:val="45283D63"/>
    <w:rsid w:val="452A6BE8"/>
    <w:rsid w:val="452D6D10"/>
    <w:rsid w:val="453C2C52"/>
    <w:rsid w:val="453F6356"/>
    <w:rsid w:val="4546246E"/>
    <w:rsid w:val="45477A49"/>
    <w:rsid w:val="45572F91"/>
    <w:rsid w:val="45594770"/>
    <w:rsid w:val="455F4498"/>
    <w:rsid w:val="456A18DF"/>
    <w:rsid w:val="45740E86"/>
    <w:rsid w:val="45797DE3"/>
    <w:rsid w:val="457D2B7B"/>
    <w:rsid w:val="45992E38"/>
    <w:rsid w:val="45997A4E"/>
    <w:rsid w:val="459D5F23"/>
    <w:rsid w:val="45A0662F"/>
    <w:rsid w:val="45A71335"/>
    <w:rsid w:val="45B6530E"/>
    <w:rsid w:val="45B761B6"/>
    <w:rsid w:val="45BB3E85"/>
    <w:rsid w:val="45E33B30"/>
    <w:rsid w:val="45E55915"/>
    <w:rsid w:val="45EC565F"/>
    <w:rsid w:val="45F3495A"/>
    <w:rsid w:val="45FB007C"/>
    <w:rsid w:val="46011F6A"/>
    <w:rsid w:val="460B0348"/>
    <w:rsid w:val="46125C4E"/>
    <w:rsid w:val="46137091"/>
    <w:rsid w:val="4616701D"/>
    <w:rsid w:val="46186D0F"/>
    <w:rsid w:val="4633441C"/>
    <w:rsid w:val="46363C84"/>
    <w:rsid w:val="463C64B5"/>
    <w:rsid w:val="463D127A"/>
    <w:rsid w:val="464920FF"/>
    <w:rsid w:val="46507F2F"/>
    <w:rsid w:val="465416E5"/>
    <w:rsid w:val="46581223"/>
    <w:rsid w:val="46591436"/>
    <w:rsid w:val="4661363F"/>
    <w:rsid w:val="46622683"/>
    <w:rsid w:val="466E64B7"/>
    <w:rsid w:val="46761D02"/>
    <w:rsid w:val="468329F7"/>
    <w:rsid w:val="46842753"/>
    <w:rsid w:val="469C7DFF"/>
    <w:rsid w:val="46A55E5B"/>
    <w:rsid w:val="46AC1BCF"/>
    <w:rsid w:val="46B326A4"/>
    <w:rsid w:val="46B76849"/>
    <w:rsid w:val="46B964B3"/>
    <w:rsid w:val="46BE7FB3"/>
    <w:rsid w:val="46C1358E"/>
    <w:rsid w:val="46C2390C"/>
    <w:rsid w:val="46C67FE5"/>
    <w:rsid w:val="46CF4C05"/>
    <w:rsid w:val="46D21853"/>
    <w:rsid w:val="46D23370"/>
    <w:rsid w:val="46D67220"/>
    <w:rsid w:val="46D8617D"/>
    <w:rsid w:val="46DA6DE9"/>
    <w:rsid w:val="46DC1F9D"/>
    <w:rsid w:val="46DF5EEA"/>
    <w:rsid w:val="46E05056"/>
    <w:rsid w:val="46E05421"/>
    <w:rsid w:val="46E37DAA"/>
    <w:rsid w:val="46E417EE"/>
    <w:rsid w:val="46E805C1"/>
    <w:rsid w:val="46E96B79"/>
    <w:rsid w:val="46EA0145"/>
    <w:rsid w:val="46F7784E"/>
    <w:rsid w:val="46FE26FD"/>
    <w:rsid w:val="47022B62"/>
    <w:rsid w:val="470275A3"/>
    <w:rsid w:val="471657E9"/>
    <w:rsid w:val="471F1214"/>
    <w:rsid w:val="472C4A36"/>
    <w:rsid w:val="472C799C"/>
    <w:rsid w:val="47397427"/>
    <w:rsid w:val="47410E2B"/>
    <w:rsid w:val="4743147C"/>
    <w:rsid w:val="47461CED"/>
    <w:rsid w:val="474F0CC2"/>
    <w:rsid w:val="4750010D"/>
    <w:rsid w:val="47521896"/>
    <w:rsid w:val="4753289C"/>
    <w:rsid w:val="475E7A1B"/>
    <w:rsid w:val="47663784"/>
    <w:rsid w:val="476F7F1E"/>
    <w:rsid w:val="47761038"/>
    <w:rsid w:val="4782366D"/>
    <w:rsid w:val="478477BF"/>
    <w:rsid w:val="47887982"/>
    <w:rsid w:val="47A02DCD"/>
    <w:rsid w:val="47A14D10"/>
    <w:rsid w:val="47AC37A8"/>
    <w:rsid w:val="47B41473"/>
    <w:rsid w:val="47BA7A7F"/>
    <w:rsid w:val="47BC192F"/>
    <w:rsid w:val="47C36D5A"/>
    <w:rsid w:val="47CB2889"/>
    <w:rsid w:val="47D146EE"/>
    <w:rsid w:val="47D80C92"/>
    <w:rsid w:val="47DD65EF"/>
    <w:rsid w:val="47E224DA"/>
    <w:rsid w:val="47E63EB0"/>
    <w:rsid w:val="47FB0A7D"/>
    <w:rsid w:val="47FB271A"/>
    <w:rsid w:val="47FD33E9"/>
    <w:rsid w:val="48082361"/>
    <w:rsid w:val="48103631"/>
    <w:rsid w:val="481041FD"/>
    <w:rsid w:val="48116A3B"/>
    <w:rsid w:val="481A4F49"/>
    <w:rsid w:val="48207BF3"/>
    <w:rsid w:val="4828058E"/>
    <w:rsid w:val="4835467E"/>
    <w:rsid w:val="484418D4"/>
    <w:rsid w:val="48504941"/>
    <w:rsid w:val="48541A56"/>
    <w:rsid w:val="48560EF7"/>
    <w:rsid w:val="485F3D93"/>
    <w:rsid w:val="48612BE4"/>
    <w:rsid w:val="48642188"/>
    <w:rsid w:val="48786788"/>
    <w:rsid w:val="487B11C9"/>
    <w:rsid w:val="487C2509"/>
    <w:rsid w:val="487F133C"/>
    <w:rsid w:val="488957BE"/>
    <w:rsid w:val="48897001"/>
    <w:rsid w:val="489D0647"/>
    <w:rsid w:val="48A04C7F"/>
    <w:rsid w:val="48A73168"/>
    <w:rsid w:val="48B06483"/>
    <w:rsid w:val="48BD43A1"/>
    <w:rsid w:val="48D81552"/>
    <w:rsid w:val="48D8366D"/>
    <w:rsid w:val="48DB6CFF"/>
    <w:rsid w:val="48EA2B4C"/>
    <w:rsid w:val="48FB462C"/>
    <w:rsid w:val="48FD7C3D"/>
    <w:rsid w:val="49041D35"/>
    <w:rsid w:val="49042EB0"/>
    <w:rsid w:val="490C48C8"/>
    <w:rsid w:val="49182F5B"/>
    <w:rsid w:val="492D1768"/>
    <w:rsid w:val="49382013"/>
    <w:rsid w:val="4948094D"/>
    <w:rsid w:val="494B7C8C"/>
    <w:rsid w:val="49534A38"/>
    <w:rsid w:val="49577F5B"/>
    <w:rsid w:val="49590A49"/>
    <w:rsid w:val="495D420F"/>
    <w:rsid w:val="496A469A"/>
    <w:rsid w:val="497271BB"/>
    <w:rsid w:val="497C1D1C"/>
    <w:rsid w:val="49802100"/>
    <w:rsid w:val="49831F08"/>
    <w:rsid w:val="4994097A"/>
    <w:rsid w:val="49993BA8"/>
    <w:rsid w:val="49A177C4"/>
    <w:rsid w:val="49CF34DB"/>
    <w:rsid w:val="49EC5752"/>
    <w:rsid w:val="49F80AFA"/>
    <w:rsid w:val="49FA1131"/>
    <w:rsid w:val="4A117D4D"/>
    <w:rsid w:val="4A1A0CF9"/>
    <w:rsid w:val="4A1C0557"/>
    <w:rsid w:val="4A2B230E"/>
    <w:rsid w:val="4A43365A"/>
    <w:rsid w:val="4A466DFD"/>
    <w:rsid w:val="4A576003"/>
    <w:rsid w:val="4A583EFA"/>
    <w:rsid w:val="4A5B688E"/>
    <w:rsid w:val="4A6041B4"/>
    <w:rsid w:val="4A66406B"/>
    <w:rsid w:val="4A78542D"/>
    <w:rsid w:val="4A8A0E3B"/>
    <w:rsid w:val="4AAE6CB9"/>
    <w:rsid w:val="4AB93932"/>
    <w:rsid w:val="4ABC65B3"/>
    <w:rsid w:val="4ABD14F2"/>
    <w:rsid w:val="4AC420FF"/>
    <w:rsid w:val="4ACC799C"/>
    <w:rsid w:val="4ACF43DD"/>
    <w:rsid w:val="4AD53503"/>
    <w:rsid w:val="4ADA17D2"/>
    <w:rsid w:val="4ADA5876"/>
    <w:rsid w:val="4ADD31A5"/>
    <w:rsid w:val="4ADE4EF5"/>
    <w:rsid w:val="4AFE5FCD"/>
    <w:rsid w:val="4B012EDA"/>
    <w:rsid w:val="4B047519"/>
    <w:rsid w:val="4B1053C2"/>
    <w:rsid w:val="4B1103A6"/>
    <w:rsid w:val="4B170E51"/>
    <w:rsid w:val="4B406FEC"/>
    <w:rsid w:val="4B44027A"/>
    <w:rsid w:val="4B454539"/>
    <w:rsid w:val="4B535B0F"/>
    <w:rsid w:val="4B5D208D"/>
    <w:rsid w:val="4B622E6E"/>
    <w:rsid w:val="4B682317"/>
    <w:rsid w:val="4B770E66"/>
    <w:rsid w:val="4B8A6B9F"/>
    <w:rsid w:val="4B8B7329"/>
    <w:rsid w:val="4B99555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C057F88"/>
    <w:rsid w:val="4C0F4381"/>
    <w:rsid w:val="4C18788C"/>
    <w:rsid w:val="4C1F67B3"/>
    <w:rsid w:val="4C321FEE"/>
    <w:rsid w:val="4C4A4648"/>
    <w:rsid w:val="4C531AD9"/>
    <w:rsid w:val="4C5A5942"/>
    <w:rsid w:val="4C6657AD"/>
    <w:rsid w:val="4C6913E5"/>
    <w:rsid w:val="4C6F4A1A"/>
    <w:rsid w:val="4C784838"/>
    <w:rsid w:val="4C8037AE"/>
    <w:rsid w:val="4C832E02"/>
    <w:rsid w:val="4C84568C"/>
    <w:rsid w:val="4C854A3A"/>
    <w:rsid w:val="4C911064"/>
    <w:rsid w:val="4C953B5D"/>
    <w:rsid w:val="4CAD29E9"/>
    <w:rsid w:val="4CB05377"/>
    <w:rsid w:val="4CB76C18"/>
    <w:rsid w:val="4CB82F69"/>
    <w:rsid w:val="4CCA38C9"/>
    <w:rsid w:val="4CD37FAC"/>
    <w:rsid w:val="4CDE1A0F"/>
    <w:rsid w:val="4CDE566C"/>
    <w:rsid w:val="4CE03B8B"/>
    <w:rsid w:val="4CE567E9"/>
    <w:rsid w:val="4CF826A3"/>
    <w:rsid w:val="4D05508A"/>
    <w:rsid w:val="4D0B7AE4"/>
    <w:rsid w:val="4D0F43B2"/>
    <w:rsid w:val="4D192644"/>
    <w:rsid w:val="4D254D1C"/>
    <w:rsid w:val="4D2D33D9"/>
    <w:rsid w:val="4D2D6815"/>
    <w:rsid w:val="4D2E0D3C"/>
    <w:rsid w:val="4D44167E"/>
    <w:rsid w:val="4D4C1706"/>
    <w:rsid w:val="4D4D3325"/>
    <w:rsid w:val="4D507170"/>
    <w:rsid w:val="4D546472"/>
    <w:rsid w:val="4D566FBA"/>
    <w:rsid w:val="4D5C6A6D"/>
    <w:rsid w:val="4D61137D"/>
    <w:rsid w:val="4D6122A3"/>
    <w:rsid w:val="4D635697"/>
    <w:rsid w:val="4D7866A7"/>
    <w:rsid w:val="4D7F1845"/>
    <w:rsid w:val="4D8A67DA"/>
    <w:rsid w:val="4D8B7947"/>
    <w:rsid w:val="4D943AE7"/>
    <w:rsid w:val="4D9A7380"/>
    <w:rsid w:val="4D9C3A4E"/>
    <w:rsid w:val="4DA4710E"/>
    <w:rsid w:val="4DB6032F"/>
    <w:rsid w:val="4DB770C7"/>
    <w:rsid w:val="4DB85906"/>
    <w:rsid w:val="4DBD5E56"/>
    <w:rsid w:val="4DC3090F"/>
    <w:rsid w:val="4DCA7CC0"/>
    <w:rsid w:val="4DDA0944"/>
    <w:rsid w:val="4DDB5855"/>
    <w:rsid w:val="4DF26512"/>
    <w:rsid w:val="4DFD50BE"/>
    <w:rsid w:val="4DFD5A6F"/>
    <w:rsid w:val="4E083D60"/>
    <w:rsid w:val="4E0950FB"/>
    <w:rsid w:val="4E0A5BBD"/>
    <w:rsid w:val="4E23125E"/>
    <w:rsid w:val="4E2E772A"/>
    <w:rsid w:val="4E38395C"/>
    <w:rsid w:val="4E434E98"/>
    <w:rsid w:val="4E4E075D"/>
    <w:rsid w:val="4E557084"/>
    <w:rsid w:val="4E573192"/>
    <w:rsid w:val="4E5C0173"/>
    <w:rsid w:val="4E673E7B"/>
    <w:rsid w:val="4E676383"/>
    <w:rsid w:val="4E694667"/>
    <w:rsid w:val="4E6A1943"/>
    <w:rsid w:val="4E80340E"/>
    <w:rsid w:val="4E80585F"/>
    <w:rsid w:val="4E835393"/>
    <w:rsid w:val="4E9D327D"/>
    <w:rsid w:val="4EA04423"/>
    <w:rsid w:val="4EA320D1"/>
    <w:rsid w:val="4EA63946"/>
    <w:rsid w:val="4EA65EF4"/>
    <w:rsid w:val="4EAE5255"/>
    <w:rsid w:val="4EB87E63"/>
    <w:rsid w:val="4EBC0AA3"/>
    <w:rsid w:val="4EC31C07"/>
    <w:rsid w:val="4ECE580B"/>
    <w:rsid w:val="4EDA6740"/>
    <w:rsid w:val="4EE15E98"/>
    <w:rsid w:val="4EE20FD6"/>
    <w:rsid w:val="4EE34D4F"/>
    <w:rsid w:val="4EF26455"/>
    <w:rsid w:val="4EFD7217"/>
    <w:rsid w:val="4F02252E"/>
    <w:rsid w:val="4F1626B0"/>
    <w:rsid w:val="4F1635AB"/>
    <w:rsid w:val="4F193C2E"/>
    <w:rsid w:val="4F1E2E86"/>
    <w:rsid w:val="4F28266A"/>
    <w:rsid w:val="4F3463DE"/>
    <w:rsid w:val="4F515766"/>
    <w:rsid w:val="4F524A77"/>
    <w:rsid w:val="4F5B6DFD"/>
    <w:rsid w:val="4F6C2E02"/>
    <w:rsid w:val="4F7914C1"/>
    <w:rsid w:val="4F7C0228"/>
    <w:rsid w:val="4F80340A"/>
    <w:rsid w:val="4F816878"/>
    <w:rsid w:val="4F8234EB"/>
    <w:rsid w:val="4F901B40"/>
    <w:rsid w:val="4F9627C7"/>
    <w:rsid w:val="4FA450AC"/>
    <w:rsid w:val="4FA87F14"/>
    <w:rsid w:val="4FAD3E04"/>
    <w:rsid w:val="4FBF33B3"/>
    <w:rsid w:val="4FC37A1B"/>
    <w:rsid w:val="4FC802FF"/>
    <w:rsid w:val="4FCE4C9E"/>
    <w:rsid w:val="4FDE790A"/>
    <w:rsid w:val="4FDF1FE5"/>
    <w:rsid w:val="4FDF75CA"/>
    <w:rsid w:val="4FE02AE7"/>
    <w:rsid w:val="4FE65906"/>
    <w:rsid w:val="4FF72BC3"/>
    <w:rsid w:val="5002580D"/>
    <w:rsid w:val="50051910"/>
    <w:rsid w:val="500F0075"/>
    <w:rsid w:val="5015696D"/>
    <w:rsid w:val="501D74BB"/>
    <w:rsid w:val="501F4FE2"/>
    <w:rsid w:val="50214EDB"/>
    <w:rsid w:val="503D0C67"/>
    <w:rsid w:val="505D0E93"/>
    <w:rsid w:val="505E33D2"/>
    <w:rsid w:val="506864A0"/>
    <w:rsid w:val="506A2CAA"/>
    <w:rsid w:val="50732542"/>
    <w:rsid w:val="50741EE8"/>
    <w:rsid w:val="507F5036"/>
    <w:rsid w:val="50804A1B"/>
    <w:rsid w:val="5082218B"/>
    <w:rsid w:val="508473EB"/>
    <w:rsid w:val="50920323"/>
    <w:rsid w:val="50940B12"/>
    <w:rsid w:val="50A0041B"/>
    <w:rsid w:val="50A67EB6"/>
    <w:rsid w:val="50B1339B"/>
    <w:rsid w:val="50B70C6B"/>
    <w:rsid w:val="50BA1A6F"/>
    <w:rsid w:val="50C12149"/>
    <w:rsid w:val="50C537C4"/>
    <w:rsid w:val="50CA6EF3"/>
    <w:rsid w:val="50CC3171"/>
    <w:rsid w:val="50CE7F99"/>
    <w:rsid w:val="50D224FE"/>
    <w:rsid w:val="50D779AB"/>
    <w:rsid w:val="50DD0E91"/>
    <w:rsid w:val="50E35BE8"/>
    <w:rsid w:val="50E90AEE"/>
    <w:rsid w:val="50FC48C1"/>
    <w:rsid w:val="5106299D"/>
    <w:rsid w:val="51075B17"/>
    <w:rsid w:val="5111310C"/>
    <w:rsid w:val="51143632"/>
    <w:rsid w:val="511545C1"/>
    <w:rsid w:val="511B61E3"/>
    <w:rsid w:val="511F667B"/>
    <w:rsid w:val="512310E9"/>
    <w:rsid w:val="512D47FF"/>
    <w:rsid w:val="513C5240"/>
    <w:rsid w:val="514149D4"/>
    <w:rsid w:val="514E11E7"/>
    <w:rsid w:val="51531D4F"/>
    <w:rsid w:val="516F1636"/>
    <w:rsid w:val="51732223"/>
    <w:rsid w:val="51737331"/>
    <w:rsid w:val="51776538"/>
    <w:rsid w:val="517F3D75"/>
    <w:rsid w:val="518749EC"/>
    <w:rsid w:val="51986034"/>
    <w:rsid w:val="519A644E"/>
    <w:rsid w:val="51A23103"/>
    <w:rsid w:val="51B425EC"/>
    <w:rsid w:val="51B756B8"/>
    <w:rsid w:val="51B948A5"/>
    <w:rsid w:val="51BC3A00"/>
    <w:rsid w:val="51C12CF0"/>
    <w:rsid w:val="51C60563"/>
    <w:rsid w:val="51D532E2"/>
    <w:rsid w:val="51D63FC6"/>
    <w:rsid w:val="51DE19D8"/>
    <w:rsid w:val="51E13ADB"/>
    <w:rsid w:val="51ED7FCF"/>
    <w:rsid w:val="51F03019"/>
    <w:rsid w:val="52004D55"/>
    <w:rsid w:val="5219757C"/>
    <w:rsid w:val="521C6BF3"/>
    <w:rsid w:val="522509B4"/>
    <w:rsid w:val="5227045B"/>
    <w:rsid w:val="52273CCB"/>
    <w:rsid w:val="52387250"/>
    <w:rsid w:val="523B5862"/>
    <w:rsid w:val="5259648F"/>
    <w:rsid w:val="525B1DC1"/>
    <w:rsid w:val="525C538D"/>
    <w:rsid w:val="525C6928"/>
    <w:rsid w:val="52672BEC"/>
    <w:rsid w:val="52810C92"/>
    <w:rsid w:val="52921FEB"/>
    <w:rsid w:val="529F48AC"/>
    <w:rsid w:val="52A97F45"/>
    <w:rsid w:val="52B32703"/>
    <w:rsid w:val="52BC09C1"/>
    <w:rsid w:val="52C469ED"/>
    <w:rsid w:val="52C56672"/>
    <w:rsid w:val="52DA7558"/>
    <w:rsid w:val="52E573C1"/>
    <w:rsid w:val="52E71149"/>
    <w:rsid w:val="52EB488B"/>
    <w:rsid w:val="52ED01C1"/>
    <w:rsid w:val="52F83F37"/>
    <w:rsid w:val="52FB7B68"/>
    <w:rsid w:val="52FF6846"/>
    <w:rsid w:val="530069A5"/>
    <w:rsid w:val="53043A7C"/>
    <w:rsid w:val="53096E29"/>
    <w:rsid w:val="530A5CF7"/>
    <w:rsid w:val="53153974"/>
    <w:rsid w:val="531B594C"/>
    <w:rsid w:val="531C3ECA"/>
    <w:rsid w:val="533D624A"/>
    <w:rsid w:val="534145CC"/>
    <w:rsid w:val="5353278C"/>
    <w:rsid w:val="536656A7"/>
    <w:rsid w:val="5368637B"/>
    <w:rsid w:val="53757A4A"/>
    <w:rsid w:val="53825209"/>
    <w:rsid w:val="538C7108"/>
    <w:rsid w:val="539A0745"/>
    <w:rsid w:val="539B1AF5"/>
    <w:rsid w:val="539D6209"/>
    <w:rsid w:val="53AA5FC2"/>
    <w:rsid w:val="53BE786F"/>
    <w:rsid w:val="53C74983"/>
    <w:rsid w:val="53D31177"/>
    <w:rsid w:val="53D4470B"/>
    <w:rsid w:val="53DC6D63"/>
    <w:rsid w:val="53EF0C58"/>
    <w:rsid w:val="53EF5526"/>
    <w:rsid w:val="53F442E3"/>
    <w:rsid w:val="540A698F"/>
    <w:rsid w:val="540E7262"/>
    <w:rsid w:val="54110A2C"/>
    <w:rsid w:val="541240F2"/>
    <w:rsid w:val="543B3618"/>
    <w:rsid w:val="543F00F7"/>
    <w:rsid w:val="5444652E"/>
    <w:rsid w:val="54506C3F"/>
    <w:rsid w:val="5461247C"/>
    <w:rsid w:val="546257F1"/>
    <w:rsid w:val="54676039"/>
    <w:rsid w:val="54710205"/>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70B5B"/>
    <w:rsid w:val="54F86262"/>
    <w:rsid w:val="54F86D49"/>
    <w:rsid w:val="54F937EE"/>
    <w:rsid w:val="55012903"/>
    <w:rsid w:val="5503784D"/>
    <w:rsid w:val="550B255E"/>
    <w:rsid w:val="55117A9F"/>
    <w:rsid w:val="551F2F1A"/>
    <w:rsid w:val="55217BEF"/>
    <w:rsid w:val="552307A7"/>
    <w:rsid w:val="55301AEB"/>
    <w:rsid w:val="55394BFB"/>
    <w:rsid w:val="55405E31"/>
    <w:rsid w:val="55464886"/>
    <w:rsid w:val="555005FF"/>
    <w:rsid w:val="5553461C"/>
    <w:rsid w:val="555903DC"/>
    <w:rsid w:val="555A1576"/>
    <w:rsid w:val="555A61FA"/>
    <w:rsid w:val="555B790A"/>
    <w:rsid w:val="555E07E4"/>
    <w:rsid w:val="5567737F"/>
    <w:rsid w:val="556869CA"/>
    <w:rsid w:val="556D77D6"/>
    <w:rsid w:val="55737B32"/>
    <w:rsid w:val="55744BF2"/>
    <w:rsid w:val="557F757A"/>
    <w:rsid w:val="55837950"/>
    <w:rsid w:val="558576DE"/>
    <w:rsid w:val="5589224B"/>
    <w:rsid w:val="55936FAF"/>
    <w:rsid w:val="5594058C"/>
    <w:rsid w:val="55996C79"/>
    <w:rsid w:val="55B13E3B"/>
    <w:rsid w:val="55B52431"/>
    <w:rsid w:val="55C02117"/>
    <w:rsid w:val="55C259E8"/>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65501B"/>
    <w:rsid w:val="566A6A35"/>
    <w:rsid w:val="56706303"/>
    <w:rsid w:val="56713B56"/>
    <w:rsid w:val="56786FE9"/>
    <w:rsid w:val="56832B27"/>
    <w:rsid w:val="568458F5"/>
    <w:rsid w:val="56865824"/>
    <w:rsid w:val="56882238"/>
    <w:rsid w:val="569D1474"/>
    <w:rsid w:val="569E4229"/>
    <w:rsid w:val="569E4306"/>
    <w:rsid w:val="56A919E0"/>
    <w:rsid w:val="56AC720B"/>
    <w:rsid w:val="56B61A81"/>
    <w:rsid w:val="56B77FA2"/>
    <w:rsid w:val="56C10E54"/>
    <w:rsid w:val="56C5400E"/>
    <w:rsid w:val="56C75BDF"/>
    <w:rsid w:val="56C93F20"/>
    <w:rsid w:val="56CA3770"/>
    <w:rsid w:val="56D10A63"/>
    <w:rsid w:val="56D45E0D"/>
    <w:rsid w:val="56D836CE"/>
    <w:rsid w:val="56E57B48"/>
    <w:rsid w:val="5707781F"/>
    <w:rsid w:val="571D6447"/>
    <w:rsid w:val="57280976"/>
    <w:rsid w:val="57354289"/>
    <w:rsid w:val="573D51B6"/>
    <w:rsid w:val="573F2B69"/>
    <w:rsid w:val="573F3C97"/>
    <w:rsid w:val="57450C65"/>
    <w:rsid w:val="574552E5"/>
    <w:rsid w:val="574719D8"/>
    <w:rsid w:val="575A35E1"/>
    <w:rsid w:val="57623B1E"/>
    <w:rsid w:val="576F1DFA"/>
    <w:rsid w:val="576F660E"/>
    <w:rsid w:val="5775154F"/>
    <w:rsid w:val="5779730A"/>
    <w:rsid w:val="57830F48"/>
    <w:rsid w:val="57905B78"/>
    <w:rsid w:val="579319BB"/>
    <w:rsid w:val="57A13F78"/>
    <w:rsid w:val="57C063CC"/>
    <w:rsid w:val="57C628EA"/>
    <w:rsid w:val="57D06542"/>
    <w:rsid w:val="57E04C87"/>
    <w:rsid w:val="57E71AA0"/>
    <w:rsid w:val="57EA2136"/>
    <w:rsid w:val="57EE6184"/>
    <w:rsid w:val="57EE6DA9"/>
    <w:rsid w:val="57FD28CE"/>
    <w:rsid w:val="580223A6"/>
    <w:rsid w:val="581113AC"/>
    <w:rsid w:val="5815798C"/>
    <w:rsid w:val="58194C0A"/>
    <w:rsid w:val="581A68F2"/>
    <w:rsid w:val="5823457C"/>
    <w:rsid w:val="5825789F"/>
    <w:rsid w:val="58292676"/>
    <w:rsid w:val="582F6754"/>
    <w:rsid w:val="582F6A56"/>
    <w:rsid w:val="5832401F"/>
    <w:rsid w:val="5834125E"/>
    <w:rsid w:val="583824A8"/>
    <w:rsid w:val="583B1511"/>
    <w:rsid w:val="584D64D9"/>
    <w:rsid w:val="58524DC5"/>
    <w:rsid w:val="58573197"/>
    <w:rsid w:val="586109DD"/>
    <w:rsid w:val="58660B40"/>
    <w:rsid w:val="58677666"/>
    <w:rsid w:val="586F19E4"/>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A5EEB"/>
    <w:rsid w:val="58DF4B43"/>
    <w:rsid w:val="58DF6C38"/>
    <w:rsid w:val="58FC102D"/>
    <w:rsid w:val="590025FF"/>
    <w:rsid w:val="5905168A"/>
    <w:rsid w:val="5911503F"/>
    <w:rsid w:val="592767A4"/>
    <w:rsid w:val="593C14F7"/>
    <w:rsid w:val="593D7EB7"/>
    <w:rsid w:val="59420742"/>
    <w:rsid w:val="59493AAF"/>
    <w:rsid w:val="59567C0D"/>
    <w:rsid w:val="5960630C"/>
    <w:rsid w:val="59636E6A"/>
    <w:rsid w:val="59657E55"/>
    <w:rsid w:val="59693F3F"/>
    <w:rsid w:val="59805F88"/>
    <w:rsid w:val="59854E4C"/>
    <w:rsid w:val="598B23FC"/>
    <w:rsid w:val="598D1777"/>
    <w:rsid w:val="59944691"/>
    <w:rsid w:val="599F6880"/>
    <w:rsid w:val="59A74A0C"/>
    <w:rsid w:val="59AB159E"/>
    <w:rsid w:val="59C32D24"/>
    <w:rsid w:val="59D43EA9"/>
    <w:rsid w:val="59D735BF"/>
    <w:rsid w:val="59E22562"/>
    <w:rsid w:val="59E769D4"/>
    <w:rsid w:val="59EA3857"/>
    <w:rsid w:val="59ED6F0F"/>
    <w:rsid w:val="59F435A6"/>
    <w:rsid w:val="59F84F1F"/>
    <w:rsid w:val="59FA1EE3"/>
    <w:rsid w:val="59FD0D30"/>
    <w:rsid w:val="5A026EE9"/>
    <w:rsid w:val="5A041D3E"/>
    <w:rsid w:val="5A044AA7"/>
    <w:rsid w:val="5A104AAF"/>
    <w:rsid w:val="5A134EEB"/>
    <w:rsid w:val="5A1B5FA4"/>
    <w:rsid w:val="5A1F7BAE"/>
    <w:rsid w:val="5A242A8E"/>
    <w:rsid w:val="5A2536DB"/>
    <w:rsid w:val="5A3E2EA1"/>
    <w:rsid w:val="5A4011EC"/>
    <w:rsid w:val="5A4B12BA"/>
    <w:rsid w:val="5A4D7831"/>
    <w:rsid w:val="5A506DE2"/>
    <w:rsid w:val="5A562234"/>
    <w:rsid w:val="5A604B50"/>
    <w:rsid w:val="5A6713C8"/>
    <w:rsid w:val="5A6831C3"/>
    <w:rsid w:val="5A6E27C4"/>
    <w:rsid w:val="5A73314D"/>
    <w:rsid w:val="5A7A3E8A"/>
    <w:rsid w:val="5A811A93"/>
    <w:rsid w:val="5A8F5DFF"/>
    <w:rsid w:val="5A905DB6"/>
    <w:rsid w:val="5A9A59B1"/>
    <w:rsid w:val="5AA07A4A"/>
    <w:rsid w:val="5AA42655"/>
    <w:rsid w:val="5AA5581B"/>
    <w:rsid w:val="5AA932E2"/>
    <w:rsid w:val="5ABA65CB"/>
    <w:rsid w:val="5AC64A57"/>
    <w:rsid w:val="5AC707E8"/>
    <w:rsid w:val="5ACC0875"/>
    <w:rsid w:val="5ACC0AA7"/>
    <w:rsid w:val="5ACE60D0"/>
    <w:rsid w:val="5AEA57A3"/>
    <w:rsid w:val="5AF33833"/>
    <w:rsid w:val="5AF5430C"/>
    <w:rsid w:val="5B0301C6"/>
    <w:rsid w:val="5B05465E"/>
    <w:rsid w:val="5B0D54D5"/>
    <w:rsid w:val="5B0E0492"/>
    <w:rsid w:val="5B0F6685"/>
    <w:rsid w:val="5B3031B6"/>
    <w:rsid w:val="5B320092"/>
    <w:rsid w:val="5B342D59"/>
    <w:rsid w:val="5B3A5809"/>
    <w:rsid w:val="5B4E6F1F"/>
    <w:rsid w:val="5B5D5BD2"/>
    <w:rsid w:val="5B680989"/>
    <w:rsid w:val="5B6A4E9F"/>
    <w:rsid w:val="5B773CD4"/>
    <w:rsid w:val="5B7F2155"/>
    <w:rsid w:val="5B974D22"/>
    <w:rsid w:val="5BA14862"/>
    <w:rsid w:val="5BAF1296"/>
    <w:rsid w:val="5BBE7A7E"/>
    <w:rsid w:val="5BC54189"/>
    <w:rsid w:val="5BC873A5"/>
    <w:rsid w:val="5BCC0968"/>
    <w:rsid w:val="5BD0285B"/>
    <w:rsid w:val="5BD93541"/>
    <w:rsid w:val="5BDC5BD7"/>
    <w:rsid w:val="5BE76901"/>
    <w:rsid w:val="5BEA490A"/>
    <w:rsid w:val="5BFF1650"/>
    <w:rsid w:val="5C0349A2"/>
    <w:rsid w:val="5C064E15"/>
    <w:rsid w:val="5C0965AE"/>
    <w:rsid w:val="5C0C0985"/>
    <w:rsid w:val="5C0E27BF"/>
    <w:rsid w:val="5C2061EC"/>
    <w:rsid w:val="5C2B627C"/>
    <w:rsid w:val="5C340589"/>
    <w:rsid w:val="5C377624"/>
    <w:rsid w:val="5C3E77A6"/>
    <w:rsid w:val="5C412B70"/>
    <w:rsid w:val="5C4511C2"/>
    <w:rsid w:val="5C511B0B"/>
    <w:rsid w:val="5C56020E"/>
    <w:rsid w:val="5C5B0B37"/>
    <w:rsid w:val="5C6A687A"/>
    <w:rsid w:val="5C733486"/>
    <w:rsid w:val="5C7670A5"/>
    <w:rsid w:val="5C7B26BF"/>
    <w:rsid w:val="5C7B6C17"/>
    <w:rsid w:val="5C7D6637"/>
    <w:rsid w:val="5C865FC3"/>
    <w:rsid w:val="5C8D05C7"/>
    <w:rsid w:val="5C8D1EB7"/>
    <w:rsid w:val="5C8F4279"/>
    <w:rsid w:val="5C937CB2"/>
    <w:rsid w:val="5C944A99"/>
    <w:rsid w:val="5C9B7275"/>
    <w:rsid w:val="5CA15A78"/>
    <w:rsid w:val="5CA416D8"/>
    <w:rsid w:val="5CAA7166"/>
    <w:rsid w:val="5CAB106D"/>
    <w:rsid w:val="5CAD0CA1"/>
    <w:rsid w:val="5CBB4D16"/>
    <w:rsid w:val="5CC00C64"/>
    <w:rsid w:val="5CC923D3"/>
    <w:rsid w:val="5CD67F07"/>
    <w:rsid w:val="5CDB06AC"/>
    <w:rsid w:val="5CDF59F4"/>
    <w:rsid w:val="5CE2303B"/>
    <w:rsid w:val="5CEE79FF"/>
    <w:rsid w:val="5CF064AB"/>
    <w:rsid w:val="5CF133D1"/>
    <w:rsid w:val="5CF2118B"/>
    <w:rsid w:val="5CF33CCF"/>
    <w:rsid w:val="5CF529D1"/>
    <w:rsid w:val="5CF72E70"/>
    <w:rsid w:val="5D010A36"/>
    <w:rsid w:val="5D086DE0"/>
    <w:rsid w:val="5D0B17F9"/>
    <w:rsid w:val="5D0E19DC"/>
    <w:rsid w:val="5D0F06B5"/>
    <w:rsid w:val="5D130187"/>
    <w:rsid w:val="5D277A3F"/>
    <w:rsid w:val="5D404BDD"/>
    <w:rsid w:val="5D4414C4"/>
    <w:rsid w:val="5D451506"/>
    <w:rsid w:val="5D476B31"/>
    <w:rsid w:val="5D542A41"/>
    <w:rsid w:val="5D6048B1"/>
    <w:rsid w:val="5D68099F"/>
    <w:rsid w:val="5D7277E1"/>
    <w:rsid w:val="5D89239D"/>
    <w:rsid w:val="5D8B7642"/>
    <w:rsid w:val="5D9364D0"/>
    <w:rsid w:val="5D941023"/>
    <w:rsid w:val="5D9446FC"/>
    <w:rsid w:val="5D945809"/>
    <w:rsid w:val="5DA24A75"/>
    <w:rsid w:val="5DA37A28"/>
    <w:rsid w:val="5DA43A36"/>
    <w:rsid w:val="5DBB1833"/>
    <w:rsid w:val="5DBD4FB2"/>
    <w:rsid w:val="5DC10AA6"/>
    <w:rsid w:val="5DCB38D8"/>
    <w:rsid w:val="5DCC0302"/>
    <w:rsid w:val="5DCC1273"/>
    <w:rsid w:val="5DD720A6"/>
    <w:rsid w:val="5DDC3084"/>
    <w:rsid w:val="5DDD06E5"/>
    <w:rsid w:val="5DE572D8"/>
    <w:rsid w:val="5DE919EB"/>
    <w:rsid w:val="5DED35AF"/>
    <w:rsid w:val="5DF47982"/>
    <w:rsid w:val="5E0607E2"/>
    <w:rsid w:val="5E164C8C"/>
    <w:rsid w:val="5E172580"/>
    <w:rsid w:val="5E1C531C"/>
    <w:rsid w:val="5E1D027C"/>
    <w:rsid w:val="5E233E8C"/>
    <w:rsid w:val="5E2E6C70"/>
    <w:rsid w:val="5E36149E"/>
    <w:rsid w:val="5E363C81"/>
    <w:rsid w:val="5E377C81"/>
    <w:rsid w:val="5E4359DA"/>
    <w:rsid w:val="5E4F5801"/>
    <w:rsid w:val="5E585E7C"/>
    <w:rsid w:val="5E6030AB"/>
    <w:rsid w:val="5E615A04"/>
    <w:rsid w:val="5E7E33CC"/>
    <w:rsid w:val="5E832A97"/>
    <w:rsid w:val="5E9F226B"/>
    <w:rsid w:val="5EA71D43"/>
    <w:rsid w:val="5EB2173A"/>
    <w:rsid w:val="5EC26556"/>
    <w:rsid w:val="5EC964B1"/>
    <w:rsid w:val="5ECF5F81"/>
    <w:rsid w:val="5ED23A82"/>
    <w:rsid w:val="5EDC3E75"/>
    <w:rsid w:val="5EE33D30"/>
    <w:rsid w:val="5EE66676"/>
    <w:rsid w:val="5EF04A03"/>
    <w:rsid w:val="5EF27829"/>
    <w:rsid w:val="5EFD61E5"/>
    <w:rsid w:val="5F000C2F"/>
    <w:rsid w:val="5F046F9E"/>
    <w:rsid w:val="5F1A6363"/>
    <w:rsid w:val="5F1D49EB"/>
    <w:rsid w:val="5F1F0600"/>
    <w:rsid w:val="5F25246D"/>
    <w:rsid w:val="5F2705A3"/>
    <w:rsid w:val="5F2C092C"/>
    <w:rsid w:val="5F2E3297"/>
    <w:rsid w:val="5F332996"/>
    <w:rsid w:val="5F334459"/>
    <w:rsid w:val="5F354A9B"/>
    <w:rsid w:val="5F376BC0"/>
    <w:rsid w:val="5F391735"/>
    <w:rsid w:val="5F3A1804"/>
    <w:rsid w:val="5F453884"/>
    <w:rsid w:val="5F4B2A33"/>
    <w:rsid w:val="5F5A7AC1"/>
    <w:rsid w:val="5F6415CB"/>
    <w:rsid w:val="5F6A47BE"/>
    <w:rsid w:val="5F705602"/>
    <w:rsid w:val="5F725126"/>
    <w:rsid w:val="5F79008D"/>
    <w:rsid w:val="5F8A5B63"/>
    <w:rsid w:val="5F9C7E15"/>
    <w:rsid w:val="5FA24091"/>
    <w:rsid w:val="5FA90EAA"/>
    <w:rsid w:val="5FAD2507"/>
    <w:rsid w:val="5FB5056B"/>
    <w:rsid w:val="5FB91056"/>
    <w:rsid w:val="5FC97CC1"/>
    <w:rsid w:val="5FD75773"/>
    <w:rsid w:val="5FE0727E"/>
    <w:rsid w:val="5FE259DC"/>
    <w:rsid w:val="5FE31074"/>
    <w:rsid w:val="5FEE71FF"/>
    <w:rsid w:val="60014636"/>
    <w:rsid w:val="6008237F"/>
    <w:rsid w:val="6018300D"/>
    <w:rsid w:val="601E6A9C"/>
    <w:rsid w:val="60330A86"/>
    <w:rsid w:val="60333A56"/>
    <w:rsid w:val="60421020"/>
    <w:rsid w:val="60492A6C"/>
    <w:rsid w:val="604C07B5"/>
    <w:rsid w:val="60591498"/>
    <w:rsid w:val="605D5CEF"/>
    <w:rsid w:val="60605DD2"/>
    <w:rsid w:val="60695F63"/>
    <w:rsid w:val="606A4E72"/>
    <w:rsid w:val="606E4228"/>
    <w:rsid w:val="607708A5"/>
    <w:rsid w:val="607C4EFB"/>
    <w:rsid w:val="60855E3E"/>
    <w:rsid w:val="60880328"/>
    <w:rsid w:val="608970FE"/>
    <w:rsid w:val="608E099E"/>
    <w:rsid w:val="60951F22"/>
    <w:rsid w:val="60A04B7D"/>
    <w:rsid w:val="60A42428"/>
    <w:rsid w:val="60AD7626"/>
    <w:rsid w:val="60B15498"/>
    <w:rsid w:val="60B3215A"/>
    <w:rsid w:val="60B84B8C"/>
    <w:rsid w:val="60BA4D63"/>
    <w:rsid w:val="60BA7424"/>
    <w:rsid w:val="60C43312"/>
    <w:rsid w:val="60D04397"/>
    <w:rsid w:val="60D376E1"/>
    <w:rsid w:val="60DE3406"/>
    <w:rsid w:val="60F75628"/>
    <w:rsid w:val="60F77754"/>
    <w:rsid w:val="61041FB9"/>
    <w:rsid w:val="61056BEF"/>
    <w:rsid w:val="610B1677"/>
    <w:rsid w:val="610D416E"/>
    <w:rsid w:val="612000C9"/>
    <w:rsid w:val="61235D06"/>
    <w:rsid w:val="614101F2"/>
    <w:rsid w:val="61475FE0"/>
    <w:rsid w:val="614F312B"/>
    <w:rsid w:val="61541680"/>
    <w:rsid w:val="61645DD7"/>
    <w:rsid w:val="616D378A"/>
    <w:rsid w:val="61746F59"/>
    <w:rsid w:val="61877058"/>
    <w:rsid w:val="618F3CAF"/>
    <w:rsid w:val="618F511D"/>
    <w:rsid w:val="61982FC9"/>
    <w:rsid w:val="619D76F0"/>
    <w:rsid w:val="61A578A0"/>
    <w:rsid w:val="61AA6A18"/>
    <w:rsid w:val="61AB1CA9"/>
    <w:rsid w:val="61B45AC5"/>
    <w:rsid w:val="61B8130F"/>
    <w:rsid w:val="61C7670E"/>
    <w:rsid w:val="61D102CD"/>
    <w:rsid w:val="61E64F5C"/>
    <w:rsid w:val="61EA2D3F"/>
    <w:rsid w:val="61ED7541"/>
    <w:rsid w:val="61F1108F"/>
    <w:rsid w:val="61F32456"/>
    <w:rsid w:val="61F507EA"/>
    <w:rsid w:val="61F74C24"/>
    <w:rsid w:val="61F84A40"/>
    <w:rsid w:val="62066181"/>
    <w:rsid w:val="62083044"/>
    <w:rsid w:val="62084BBA"/>
    <w:rsid w:val="620E7C4B"/>
    <w:rsid w:val="62110EF2"/>
    <w:rsid w:val="621368F0"/>
    <w:rsid w:val="62177F62"/>
    <w:rsid w:val="62202AA9"/>
    <w:rsid w:val="6221152F"/>
    <w:rsid w:val="62412709"/>
    <w:rsid w:val="624308F5"/>
    <w:rsid w:val="624E7BD0"/>
    <w:rsid w:val="624F7DE9"/>
    <w:rsid w:val="625304B3"/>
    <w:rsid w:val="6264583D"/>
    <w:rsid w:val="62687AF7"/>
    <w:rsid w:val="627377DF"/>
    <w:rsid w:val="62767B5C"/>
    <w:rsid w:val="627B1D68"/>
    <w:rsid w:val="628162F5"/>
    <w:rsid w:val="62847941"/>
    <w:rsid w:val="628B3E46"/>
    <w:rsid w:val="62942A2A"/>
    <w:rsid w:val="6294354D"/>
    <w:rsid w:val="629755E5"/>
    <w:rsid w:val="62994FB6"/>
    <w:rsid w:val="629B7761"/>
    <w:rsid w:val="62A02387"/>
    <w:rsid w:val="62AA1357"/>
    <w:rsid w:val="62AA4B98"/>
    <w:rsid w:val="62AB0DB7"/>
    <w:rsid w:val="62AC6111"/>
    <w:rsid w:val="62B0717E"/>
    <w:rsid w:val="62B4675E"/>
    <w:rsid w:val="62B662BE"/>
    <w:rsid w:val="62D526B3"/>
    <w:rsid w:val="62DA27AB"/>
    <w:rsid w:val="62E9025D"/>
    <w:rsid w:val="62EA0F2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5733"/>
    <w:rsid w:val="63635154"/>
    <w:rsid w:val="636664C2"/>
    <w:rsid w:val="63683EDA"/>
    <w:rsid w:val="636B5E9C"/>
    <w:rsid w:val="63733823"/>
    <w:rsid w:val="63740747"/>
    <w:rsid w:val="63894E97"/>
    <w:rsid w:val="6392209B"/>
    <w:rsid w:val="63950A25"/>
    <w:rsid w:val="63A60220"/>
    <w:rsid w:val="63BE6664"/>
    <w:rsid w:val="63C20597"/>
    <w:rsid w:val="63C80E95"/>
    <w:rsid w:val="63CA2C7B"/>
    <w:rsid w:val="63CE10B3"/>
    <w:rsid w:val="63CF2840"/>
    <w:rsid w:val="63DC7F8C"/>
    <w:rsid w:val="63E02E36"/>
    <w:rsid w:val="63EB3B6A"/>
    <w:rsid w:val="63FA0ADB"/>
    <w:rsid w:val="63FB7C21"/>
    <w:rsid w:val="640121BF"/>
    <w:rsid w:val="640300AA"/>
    <w:rsid w:val="64070120"/>
    <w:rsid w:val="641E58AB"/>
    <w:rsid w:val="64290E1E"/>
    <w:rsid w:val="64316EE4"/>
    <w:rsid w:val="643F7614"/>
    <w:rsid w:val="644175CD"/>
    <w:rsid w:val="644C6CB5"/>
    <w:rsid w:val="644D754B"/>
    <w:rsid w:val="64585FA0"/>
    <w:rsid w:val="64664FD2"/>
    <w:rsid w:val="646F4BF3"/>
    <w:rsid w:val="64707447"/>
    <w:rsid w:val="64791F4B"/>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50769F0"/>
    <w:rsid w:val="650C6126"/>
    <w:rsid w:val="65104323"/>
    <w:rsid w:val="651F0386"/>
    <w:rsid w:val="65212AE8"/>
    <w:rsid w:val="65224ABA"/>
    <w:rsid w:val="652D119E"/>
    <w:rsid w:val="65384C9D"/>
    <w:rsid w:val="653B0C2E"/>
    <w:rsid w:val="654D47C0"/>
    <w:rsid w:val="65502950"/>
    <w:rsid w:val="6551495B"/>
    <w:rsid w:val="655709E9"/>
    <w:rsid w:val="655B75A2"/>
    <w:rsid w:val="655F405B"/>
    <w:rsid w:val="65681312"/>
    <w:rsid w:val="656958A2"/>
    <w:rsid w:val="65781F59"/>
    <w:rsid w:val="657A2FDC"/>
    <w:rsid w:val="657C41E0"/>
    <w:rsid w:val="658553F2"/>
    <w:rsid w:val="658E2A5C"/>
    <w:rsid w:val="6591298B"/>
    <w:rsid w:val="65916461"/>
    <w:rsid w:val="659D1D2C"/>
    <w:rsid w:val="659D2B39"/>
    <w:rsid w:val="659D6D72"/>
    <w:rsid w:val="65A70EF6"/>
    <w:rsid w:val="65AB1D23"/>
    <w:rsid w:val="65AF68E8"/>
    <w:rsid w:val="65D04DB0"/>
    <w:rsid w:val="65D31CBC"/>
    <w:rsid w:val="65DC0DC4"/>
    <w:rsid w:val="65DC667F"/>
    <w:rsid w:val="65E13AA0"/>
    <w:rsid w:val="65EF3499"/>
    <w:rsid w:val="65F21931"/>
    <w:rsid w:val="65F8457B"/>
    <w:rsid w:val="66001E19"/>
    <w:rsid w:val="66142811"/>
    <w:rsid w:val="66257927"/>
    <w:rsid w:val="662A49D9"/>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E10B2"/>
    <w:rsid w:val="667F0D11"/>
    <w:rsid w:val="66803F81"/>
    <w:rsid w:val="66833864"/>
    <w:rsid w:val="66882856"/>
    <w:rsid w:val="66921986"/>
    <w:rsid w:val="669B075C"/>
    <w:rsid w:val="66A067B2"/>
    <w:rsid w:val="66A07BB4"/>
    <w:rsid w:val="66A94B81"/>
    <w:rsid w:val="66AC6382"/>
    <w:rsid w:val="66AE0D80"/>
    <w:rsid w:val="66BD0939"/>
    <w:rsid w:val="66C45AC8"/>
    <w:rsid w:val="66D142EA"/>
    <w:rsid w:val="66E63F8F"/>
    <w:rsid w:val="66ED6435"/>
    <w:rsid w:val="66F806B8"/>
    <w:rsid w:val="66F922F3"/>
    <w:rsid w:val="66FF664B"/>
    <w:rsid w:val="67071B76"/>
    <w:rsid w:val="67082A65"/>
    <w:rsid w:val="670C5315"/>
    <w:rsid w:val="671123B2"/>
    <w:rsid w:val="67122717"/>
    <w:rsid w:val="67147592"/>
    <w:rsid w:val="671A3B30"/>
    <w:rsid w:val="671B1B90"/>
    <w:rsid w:val="671B55F3"/>
    <w:rsid w:val="671D0783"/>
    <w:rsid w:val="6726021E"/>
    <w:rsid w:val="672915D1"/>
    <w:rsid w:val="672C4366"/>
    <w:rsid w:val="6736595B"/>
    <w:rsid w:val="673F439C"/>
    <w:rsid w:val="673F6043"/>
    <w:rsid w:val="67473121"/>
    <w:rsid w:val="67491781"/>
    <w:rsid w:val="674B18FB"/>
    <w:rsid w:val="674B4D84"/>
    <w:rsid w:val="674C5C33"/>
    <w:rsid w:val="67595E9D"/>
    <w:rsid w:val="676E762F"/>
    <w:rsid w:val="677E499B"/>
    <w:rsid w:val="67890D24"/>
    <w:rsid w:val="67930218"/>
    <w:rsid w:val="6796398B"/>
    <w:rsid w:val="67967040"/>
    <w:rsid w:val="67A11539"/>
    <w:rsid w:val="67A15BDF"/>
    <w:rsid w:val="67A74420"/>
    <w:rsid w:val="67B42577"/>
    <w:rsid w:val="67C06E5D"/>
    <w:rsid w:val="67E91696"/>
    <w:rsid w:val="67E97355"/>
    <w:rsid w:val="67ED3053"/>
    <w:rsid w:val="67F13ECC"/>
    <w:rsid w:val="67FA5B6F"/>
    <w:rsid w:val="680A6427"/>
    <w:rsid w:val="681B38A4"/>
    <w:rsid w:val="681D421C"/>
    <w:rsid w:val="682656AF"/>
    <w:rsid w:val="68360D3C"/>
    <w:rsid w:val="683930E2"/>
    <w:rsid w:val="683C0C8E"/>
    <w:rsid w:val="68405D25"/>
    <w:rsid w:val="684F6E3F"/>
    <w:rsid w:val="68547DBB"/>
    <w:rsid w:val="68557180"/>
    <w:rsid w:val="68585CD9"/>
    <w:rsid w:val="68630D34"/>
    <w:rsid w:val="6869372C"/>
    <w:rsid w:val="68736B47"/>
    <w:rsid w:val="688A194A"/>
    <w:rsid w:val="688C5D93"/>
    <w:rsid w:val="68902745"/>
    <w:rsid w:val="68B0668D"/>
    <w:rsid w:val="68B63481"/>
    <w:rsid w:val="68CE1AE7"/>
    <w:rsid w:val="68CF496F"/>
    <w:rsid w:val="68D73767"/>
    <w:rsid w:val="68DB18FA"/>
    <w:rsid w:val="68DE2191"/>
    <w:rsid w:val="68E87706"/>
    <w:rsid w:val="68E95D94"/>
    <w:rsid w:val="68ED5D90"/>
    <w:rsid w:val="68F55D76"/>
    <w:rsid w:val="69040288"/>
    <w:rsid w:val="690B03F6"/>
    <w:rsid w:val="690F6CF9"/>
    <w:rsid w:val="6920119F"/>
    <w:rsid w:val="692B42F7"/>
    <w:rsid w:val="692C62A4"/>
    <w:rsid w:val="692D03C5"/>
    <w:rsid w:val="693E2B71"/>
    <w:rsid w:val="69463A98"/>
    <w:rsid w:val="694A6B59"/>
    <w:rsid w:val="694F0814"/>
    <w:rsid w:val="695D1561"/>
    <w:rsid w:val="696E41D8"/>
    <w:rsid w:val="69743F4F"/>
    <w:rsid w:val="697A64DF"/>
    <w:rsid w:val="697C53AC"/>
    <w:rsid w:val="69910008"/>
    <w:rsid w:val="6998738B"/>
    <w:rsid w:val="69A845E1"/>
    <w:rsid w:val="69B57F8E"/>
    <w:rsid w:val="69B71426"/>
    <w:rsid w:val="69B762B5"/>
    <w:rsid w:val="69BD3A29"/>
    <w:rsid w:val="69C543D9"/>
    <w:rsid w:val="69C804ED"/>
    <w:rsid w:val="69CA35DB"/>
    <w:rsid w:val="69DC4E1A"/>
    <w:rsid w:val="69DD1ABF"/>
    <w:rsid w:val="69E35E34"/>
    <w:rsid w:val="69E4663E"/>
    <w:rsid w:val="69E8099D"/>
    <w:rsid w:val="69E81016"/>
    <w:rsid w:val="69EA7AD1"/>
    <w:rsid w:val="69FA2B45"/>
    <w:rsid w:val="69FB3515"/>
    <w:rsid w:val="6A013DAB"/>
    <w:rsid w:val="6A0424C8"/>
    <w:rsid w:val="6A0C70A8"/>
    <w:rsid w:val="6A1030F4"/>
    <w:rsid w:val="6A131DE5"/>
    <w:rsid w:val="6A160F6A"/>
    <w:rsid w:val="6A1962DB"/>
    <w:rsid w:val="6A277D9B"/>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F519A"/>
    <w:rsid w:val="6A915B20"/>
    <w:rsid w:val="6AA83755"/>
    <w:rsid w:val="6AAA04A3"/>
    <w:rsid w:val="6AAC1FDD"/>
    <w:rsid w:val="6AAD0D61"/>
    <w:rsid w:val="6ABF5D7E"/>
    <w:rsid w:val="6AC01C71"/>
    <w:rsid w:val="6AC338B5"/>
    <w:rsid w:val="6AC505B4"/>
    <w:rsid w:val="6ACB27E0"/>
    <w:rsid w:val="6AEB27DC"/>
    <w:rsid w:val="6AF57477"/>
    <w:rsid w:val="6AF80474"/>
    <w:rsid w:val="6B072958"/>
    <w:rsid w:val="6B0970A5"/>
    <w:rsid w:val="6B0D31B4"/>
    <w:rsid w:val="6B0D740F"/>
    <w:rsid w:val="6B0E6561"/>
    <w:rsid w:val="6B1776C1"/>
    <w:rsid w:val="6B183FDA"/>
    <w:rsid w:val="6B1D394F"/>
    <w:rsid w:val="6B283E94"/>
    <w:rsid w:val="6B2B32FA"/>
    <w:rsid w:val="6B2E1D6D"/>
    <w:rsid w:val="6B392F93"/>
    <w:rsid w:val="6B4207DF"/>
    <w:rsid w:val="6B430ACC"/>
    <w:rsid w:val="6B48064D"/>
    <w:rsid w:val="6B563B78"/>
    <w:rsid w:val="6B67033C"/>
    <w:rsid w:val="6B6B04A3"/>
    <w:rsid w:val="6B6D7359"/>
    <w:rsid w:val="6B7501B9"/>
    <w:rsid w:val="6B7E026B"/>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43A9B"/>
    <w:rsid w:val="6C07004F"/>
    <w:rsid w:val="6C0E56EA"/>
    <w:rsid w:val="6C1108A2"/>
    <w:rsid w:val="6C1366EB"/>
    <w:rsid w:val="6C1619D1"/>
    <w:rsid w:val="6C1E4722"/>
    <w:rsid w:val="6C1F1739"/>
    <w:rsid w:val="6C2037A5"/>
    <w:rsid w:val="6C282212"/>
    <w:rsid w:val="6C2A7F81"/>
    <w:rsid w:val="6C4540D8"/>
    <w:rsid w:val="6C4554D0"/>
    <w:rsid w:val="6C4B337A"/>
    <w:rsid w:val="6C4F1CDF"/>
    <w:rsid w:val="6C511060"/>
    <w:rsid w:val="6C5E1E3F"/>
    <w:rsid w:val="6C62652A"/>
    <w:rsid w:val="6C690A5B"/>
    <w:rsid w:val="6C6C75B0"/>
    <w:rsid w:val="6C6F6D21"/>
    <w:rsid w:val="6C7773A4"/>
    <w:rsid w:val="6C8E3531"/>
    <w:rsid w:val="6C8F682E"/>
    <w:rsid w:val="6C916E7A"/>
    <w:rsid w:val="6CA369BD"/>
    <w:rsid w:val="6CA767FE"/>
    <w:rsid w:val="6CA92D6D"/>
    <w:rsid w:val="6CBF1371"/>
    <w:rsid w:val="6CC02365"/>
    <w:rsid w:val="6CC15CC3"/>
    <w:rsid w:val="6CC30007"/>
    <w:rsid w:val="6CC51A8F"/>
    <w:rsid w:val="6CCF18D2"/>
    <w:rsid w:val="6CD04B4A"/>
    <w:rsid w:val="6CDE5884"/>
    <w:rsid w:val="6CE224A9"/>
    <w:rsid w:val="6CE24404"/>
    <w:rsid w:val="6CE80688"/>
    <w:rsid w:val="6CE94C7B"/>
    <w:rsid w:val="6CEA3704"/>
    <w:rsid w:val="6CF87280"/>
    <w:rsid w:val="6CFB7D4E"/>
    <w:rsid w:val="6CFD55EF"/>
    <w:rsid w:val="6D0471B7"/>
    <w:rsid w:val="6D0A6701"/>
    <w:rsid w:val="6D0D5442"/>
    <w:rsid w:val="6D156E90"/>
    <w:rsid w:val="6D18789A"/>
    <w:rsid w:val="6D1D5966"/>
    <w:rsid w:val="6D2476BD"/>
    <w:rsid w:val="6D2B77DD"/>
    <w:rsid w:val="6D416577"/>
    <w:rsid w:val="6D4421F3"/>
    <w:rsid w:val="6D551EC4"/>
    <w:rsid w:val="6D58029B"/>
    <w:rsid w:val="6D632E83"/>
    <w:rsid w:val="6D6F091A"/>
    <w:rsid w:val="6D7D4964"/>
    <w:rsid w:val="6D7E7BAE"/>
    <w:rsid w:val="6D8E0A02"/>
    <w:rsid w:val="6D952DE8"/>
    <w:rsid w:val="6DAC43FF"/>
    <w:rsid w:val="6DAF71F7"/>
    <w:rsid w:val="6DC53822"/>
    <w:rsid w:val="6DCD3EA1"/>
    <w:rsid w:val="6DCF56E9"/>
    <w:rsid w:val="6DD10648"/>
    <w:rsid w:val="6DD35EFA"/>
    <w:rsid w:val="6DD515C6"/>
    <w:rsid w:val="6DD65D1B"/>
    <w:rsid w:val="6DD94C86"/>
    <w:rsid w:val="6DE537EE"/>
    <w:rsid w:val="6DED7A96"/>
    <w:rsid w:val="6DEF5210"/>
    <w:rsid w:val="6DF3220F"/>
    <w:rsid w:val="6DFD3324"/>
    <w:rsid w:val="6E0716DA"/>
    <w:rsid w:val="6E1224F8"/>
    <w:rsid w:val="6E171560"/>
    <w:rsid w:val="6E1B7D05"/>
    <w:rsid w:val="6E200FDC"/>
    <w:rsid w:val="6E320DAF"/>
    <w:rsid w:val="6E356B06"/>
    <w:rsid w:val="6E375C25"/>
    <w:rsid w:val="6E38673F"/>
    <w:rsid w:val="6E3D78C3"/>
    <w:rsid w:val="6E4A7B9A"/>
    <w:rsid w:val="6E5841E7"/>
    <w:rsid w:val="6E606B0D"/>
    <w:rsid w:val="6E760A9C"/>
    <w:rsid w:val="6E787BC7"/>
    <w:rsid w:val="6E7C337E"/>
    <w:rsid w:val="6E85329E"/>
    <w:rsid w:val="6E8E37A3"/>
    <w:rsid w:val="6E9323BA"/>
    <w:rsid w:val="6E9D1E53"/>
    <w:rsid w:val="6EB776F8"/>
    <w:rsid w:val="6EC7631D"/>
    <w:rsid w:val="6ECB21BD"/>
    <w:rsid w:val="6ED53E24"/>
    <w:rsid w:val="6EE04EB7"/>
    <w:rsid w:val="6EE26D9C"/>
    <w:rsid w:val="6EE33B71"/>
    <w:rsid w:val="6EEA0A26"/>
    <w:rsid w:val="6EEA0C1E"/>
    <w:rsid w:val="6EEF2166"/>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82546"/>
    <w:rsid w:val="6F7A2878"/>
    <w:rsid w:val="6F7B2DDB"/>
    <w:rsid w:val="6F8E45D2"/>
    <w:rsid w:val="6F910E73"/>
    <w:rsid w:val="6F9D6454"/>
    <w:rsid w:val="6FA80267"/>
    <w:rsid w:val="6FAA0516"/>
    <w:rsid w:val="6FAA33D4"/>
    <w:rsid w:val="6FAC6D2D"/>
    <w:rsid w:val="6FB10D75"/>
    <w:rsid w:val="6FBF0E7A"/>
    <w:rsid w:val="6FC0057D"/>
    <w:rsid w:val="6FC41DEF"/>
    <w:rsid w:val="6FC61D70"/>
    <w:rsid w:val="6FCB5E24"/>
    <w:rsid w:val="6FE201A5"/>
    <w:rsid w:val="6FE677C4"/>
    <w:rsid w:val="6FE71701"/>
    <w:rsid w:val="6FE75A19"/>
    <w:rsid w:val="6FE92B4C"/>
    <w:rsid w:val="6FF35734"/>
    <w:rsid w:val="6FF90640"/>
    <w:rsid w:val="6FFB02BF"/>
    <w:rsid w:val="6FFB2DF2"/>
    <w:rsid w:val="700D4EDF"/>
    <w:rsid w:val="701A33A7"/>
    <w:rsid w:val="702150F1"/>
    <w:rsid w:val="702D0D4E"/>
    <w:rsid w:val="702D5FF0"/>
    <w:rsid w:val="703740FE"/>
    <w:rsid w:val="703C5BFF"/>
    <w:rsid w:val="703F105D"/>
    <w:rsid w:val="70477D2F"/>
    <w:rsid w:val="704845F6"/>
    <w:rsid w:val="70491A7E"/>
    <w:rsid w:val="704A0D0D"/>
    <w:rsid w:val="704E23D7"/>
    <w:rsid w:val="706864A2"/>
    <w:rsid w:val="707671C1"/>
    <w:rsid w:val="70774341"/>
    <w:rsid w:val="707816D8"/>
    <w:rsid w:val="707A6422"/>
    <w:rsid w:val="708329F2"/>
    <w:rsid w:val="70841631"/>
    <w:rsid w:val="70866D1E"/>
    <w:rsid w:val="708863EE"/>
    <w:rsid w:val="708D1F8A"/>
    <w:rsid w:val="708D6E23"/>
    <w:rsid w:val="7090229E"/>
    <w:rsid w:val="70904F07"/>
    <w:rsid w:val="70980797"/>
    <w:rsid w:val="709B6188"/>
    <w:rsid w:val="70A20606"/>
    <w:rsid w:val="70AF6B6D"/>
    <w:rsid w:val="70B36FA5"/>
    <w:rsid w:val="70BE78CA"/>
    <w:rsid w:val="70C37E9C"/>
    <w:rsid w:val="70C45688"/>
    <w:rsid w:val="70D45E43"/>
    <w:rsid w:val="70D7638F"/>
    <w:rsid w:val="70D96316"/>
    <w:rsid w:val="70DA6568"/>
    <w:rsid w:val="70DD2E34"/>
    <w:rsid w:val="70DE1FAD"/>
    <w:rsid w:val="70E21ABF"/>
    <w:rsid w:val="70E636F0"/>
    <w:rsid w:val="70F22B34"/>
    <w:rsid w:val="71067CCD"/>
    <w:rsid w:val="7110784E"/>
    <w:rsid w:val="71253FBA"/>
    <w:rsid w:val="713A4DEF"/>
    <w:rsid w:val="713A6470"/>
    <w:rsid w:val="713F01DB"/>
    <w:rsid w:val="714472D9"/>
    <w:rsid w:val="71553C77"/>
    <w:rsid w:val="7155673F"/>
    <w:rsid w:val="7161653D"/>
    <w:rsid w:val="71652E31"/>
    <w:rsid w:val="716972DE"/>
    <w:rsid w:val="716B5019"/>
    <w:rsid w:val="71715EC0"/>
    <w:rsid w:val="71721BB8"/>
    <w:rsid w:val="71792B6D"/>
    <w:rsid w:val="71822DC8"/>
    <w:rsid w:val="7182595A"/>
    <w:rsid w:val="7192581E"/>
    <w:rsid w:val="719453E4"/>
    <w:rsid w:val="719D66C8"/>
    <w:rsid w:val="71AB51EE"/>
    <w:rsid w:val="71BF2378"/>
    <w:rsid w:val="71E100E9"/>
    <w:rsid w:val="71EA2FC4"/>
    <w:rsid w:val="71EA5E90"/>
    <w:rsid w:val="71EE2B55"/>
    <w:rsid w:val="71F72A38"/>
    <w:rsid w:val="71FE3E5F"/>
    <w:rsid w:val="720040E9"/>
    <w:rsid w:val="72074550"/>
    <w:rsid w:val="72094611"/>
    <w:rsid w:val="720B19D1"/>
    <w:rsid w:val="720B6DA8"/>
    <w:rsid w:val="720D7723"/>
    <w:rsid w:val="721434E3"/>
    <w:rsid w:val="721F3D0A"/>
    <w:rsid w:val="722E26AC"/>
    <w:rsid w:val="722E59CC"/>
    <w:rsid w:val="72310BD0"/>
    <w:rsid w:val="723C3EA9"/>
    <w:rsid w:val="723D275D"/>
    <w:rsid w:val="724908EA"/>
    <w:rsid w:val="72516C3F"/>
    <w:rsid w:val="7258546A"/>
    <w:rsid w:val="726151CF"/>
    <w:rsid w:val="726169B9"/>
    <w:rsid w:val="726175A4"/>
    <w:rsid w:val="72622446"/>
    <w:rsid w:val="7264039B"/>
    <w:rsid w:val="72750113"/>
    <w:rsid w:val="72781644"/>
    <w:rsid w:val="727B4142"/>
    <w:rsid w:val="727D6910"/>
    <w:rsid w:val="72904AA0"/>
    <w:rsid w:val="72A733D0"/>
    <w:rsid w:val="72AC0B5F"/>
    <w:rsid w:val="72B148D9"/>
    <w:rsid w:val="72B20BCC"/>
    <w:rsid w:val="72B66B9A"/>
    <w:rsid w:val="72B752C0"/>
    <w:rsid w:val="72BE2002"/>
    <w:rsid w:val="72BF286C"/>
    <w:rsid w:val="72C60382"/>
    <w:rsid w:val="72D1181A"/>
    <w:rsid w:val="72D2463B"/>
    <w:rsid w:val="72D570A9"/>
    <w:rsid w:val="72DA3B2B"/>
    <w:rsid w:val="72DA420C"/>
    <w:rsid w:val="72E05576"/>
    <w:rsid w:val="72E866BD"/>
    <w:rsid w:val="72F23C4A"/>
    <w:rsid w:val="72F54159"/>
    <w:rsid w:val="73076A51"/>
    <w:rsid w:val="731A376F"/>
    <w:rsid w:val="731B31BB"/>
    <w:rsid w:val="732615F8"/>
    <w:rsid w:val="732E5D10"/>
    <w:rsid w:val="733543EC"/>
    <w:rsid w:val="733E00C9"/>
    <w:rsid w:val="73473244"/>
    <w:rsid w:val="734E7131"/>
    <w:rsid w:val="735B113E"/>
    <w:rsid w:val="735E659F"/>
    <w:rsid w:val="73634738"/>
    <w:rsid w:val="7377689B"/>
    <w:rsid w:val="737C77B8"/>
    <w:rsid w:val="738E395B"/>
    <w:rsid w:val="739116AF"/>
    <w:rsid w:val="73934C4E"/>
    <w:rsid w:val="7399255B"/>
    <w:rsid w:val="73994E29"/>
    <w:rsid w:val="73AD40C6"/>
    <w:rsid w:val="73B637B0"/>
    <w:rsid w:val="73B96DB8"/>
    <w:rsid w:val="73BC0518"/>
    <w:rsid w:val="73CC68F5"/>
    <w:rsid w:val="73D23C14"/>
    <w:rsid w:val="73D8171E"/>
    <w:rsid w:val="73DD60FF"/>
    <w:rsid w:val="73ED2269"/>
    <w:rsid w:val="73F242D9"/>
    <w:rsid w:val="73F454F4"/>
    <w:rsid w:val="74016EDF"/>
    <w:rsid w:val="74034EC7"/>
    <w:rsid w:val="74101A40"/>
    <w:rsid w:val="74137935"/>
    <w:rsid w:val="741E74B0"/>
    <w:rsid w:val="74200C4C"/>
    <w:rsid w:val="74223B96"/>
    <w:rsid w:val="742B67A6"/>
    <w:rsid w:val="74382880"/>
    <w:rsid w:val="74461949"/>
    <w:rsid w:val="74555490"/>
    <w:rsid w:val="74666B79"/>
    <w:rsid w:val="746E4951"/>
    <w:rsid w:val="74732C8F"/>
    <w:rsid w:val="747E7CD4"/>
    <w:rsid w:val="74883576"/>
    <w:rsid w:val="748A0171"/>
    <w:rsid w:val="748C0435"/>
    <w:rsid w:val="748F47A2"/>
    <w:rsid w:val="74954C44"/>
    <w:rsid w:val="749E349B"/>
    <w:rsid w:val="74A62292"/>
    <w:rsid w:val="74B86A66"/>
    <w:rsid w:val="74C471C1"/>
    <w:rsid w:val="74C4775A"/>
    <w:rsid w:val="74C95CDA"/>
    <w:rsid w:val="74D80A7B"/>
    <w:rsid w:val="74DB2B75"/>
    <w:rsid w:val="74E02B9E"/>
    <w:rsid w:val="74E54FB3"/>
    <w:rsid w:val="74E619E4"/>
    <w:rsid w:val="74EC4422"/>
    <w:rsid w:val="74F64CF5"/>
    <w:rsid w:val="74FF0307"/>
    <w:rsid w:val="750223BA"/>
    <w:rsid w:val="750A0624"/>
    <w:rsid w:val="750F5823"/>
    <w:rsid w:val="75105C9A"/>
    <w:rsid w:val="7517521C"/>
    <w:rsid w:val="75181D72"/>
    <w:rsid w:val="75186062"/>
    <w:rsid w:val="751D79C1"/>
    <w:rsid w:val="751F3D60"/>
    <w:rsid w:val="752503A2"/>
    <w:rsid w:val="752B0E49"/>
    <w:rsid w:val="753211D3"/>
    <w:rsid w:val="754055E2"/>
    <w:rsid w:val="754B2D5D"/>
    <w:rsid w:val="754F013D"/>
    <w:rsid w:val="756155B0"/>
    <w:rsid w:val="756201EF"/>
    <w:rsid w:val="756A08C2"/>
    <w:rsid w:val="75757939"/>
    <w:rsid w:val="75874BA8"/>
    <w:rsid w:val="758B6BAE"/>
    <w:rsid w:val="758F6F84"/>
    <w:rsid w:val="75952C12"/>
    <w:rsid w:val="759B6767"/>
    <w:rsid w:val="75A24A72"/>
    <w:rsid w:val="75A87CC1"/>
    <w:rsid w:val="75AE43CA"/>
    <w:rsid w:val="75BF16E5"/>
    <w:rsid w:val="75C83329"/>
    <w:rsid w:val="75D36549"/>
    <w:rsid w:val="75D9441C"/>
    <w:rsid w:val="75E72869"/>
    <w:rsid w:val="75EF05AB"/>
    <w:rsid w:val="75F640F4"/>
    <w:rsid w:val="75F90B3C"/>
    <w:rsid w:val="76021ACA"/>
    <w:rsid w:val="76090CA7"/>
    <w:rsid w:val="761C51E9"/>
    <w:rsid w:val="761E7BD4"/>
    <w:rsid w:val="762164EE"/>
    <w:rsid w:val="762E25A8"/>
    <w:rsid w:val="763A574B"/>
    <w:rsid w:val="764212BC"/>
    <w:rsid w:val="7645107B"/>
    <w:rsid w:val="7658118F"/>
    <w:rsid w:val="765834E9"/>
    <w:rsid w:val="766948B0"/>
    <w:rsid w:val="766C44F4"/>
    <w:rsid w:val="766D53BF"/>
    <w:rsid w:val="767107D4"/>
    <w:rsid w:val="76815181"/>
    <w:rsid w:val="768745CD"/>
    <w:rsid w:val="768B155B"/>
    <w:rsid w:val="768B4024"/>
    <w:rsid w:val="769103B9"/>
    <w:rsid w:val="76946515"/>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2F55B2"/>
    <w:rsid w:val="77320695"/>
    <w:rsid w:val="7733466E"/>
    <w:rsid w:val="77437554"/>
    <w:rsid w:val="77462083"/>
    <w:rsid w:val="77465974"/>
    <w:rsid w:val="774D3C2D"/>
    <w:rsid w:val="77505770"/>
    <w:rsid w:val="775116E2"/>
    <w:rsid w:val="7759379D"/>
    <w:rsid w:val="775A54FA"/>
    <w:rsid w:val="77656769"/>
    <w:rsid w:val="77686C7A"/>
    <w:rsid w:val="77753257"/>
    <w:rsid w:val="77766C2B"/>
    <w:rsid w:val="77891E89"/>
    <w:rsid w:val="779338FF"/>
    <w:rsid w:val="77935380"/>
    <w:rsid w:val="779D3992"/>
    <w:rsid w:val="77A16874"/>
    <w:rsid w:val="77A67B1B"/>
    <w:rsid w:val="77B135B8"/>
    <w:rsid w:val="77B51B62"/>
    <w:rsid w:val="77C22CB8"/>
    <w:rsid w:val="77C31373"/>
    <w:rsid w:val="77C93714"/>
    <w:rsid w:val="77CB403E"/>
    <w:rsid w:val="77D2224F"/>
    <w:rsid w:val="77D63ECC"/>
    <w:rsid w:val="77DB7463"/>
    <w:rsid w:val="77EE2F50"/>
    <w:rsid w:val="77EF6D1F"/>
    <w:rsid w:val="77F07FBB"/>
    <w:rsid w:val="78005007"/>
    <w:rsid w:val="780A7418"/>
    <w:rsid w:val="780C1D16"/>
    <w:rsid w:val="7812353B"/>
    <w:rsid w:val="7816613F"/>
    <w:rsid w:val="78186E7A"/>
    <w:rsid w:val="78292FBD"/>
    <w:rsid w:val="78344732"/>
    <w:rsid w:val="783946B7"/>
    <w:rsid w:val="78494B3D"/>
    <w:rsid w:val="78497ED9"/>
    <w:rsid w:val="784A745A"/>
    <w:rsid w:val="784F6908"/>
    <w:rsid w:val="784F6C52"/>
    <w:rsid w:val="78541188"/>
    <w:rsid w:val="78590D28"/>
    <w:rsid w:val="785955BC"/>
    <w:rsid w:val="78640097"/>
    <w:rsid w:val="78657D62"/>
    <w:rsid w:val="78663B87"/>
    <w:rsid w:val="786F0B95"/>
    <w:rsid w:val="78724FE4"/>
    <w:rsid w:val="789842D6"/>
    <w:rsid w:val="789C1CE6"/>
    <w:rsid w:val="78A72EF8"/>
    <w:rsid w:val="78B23C5C"/>
    <w:rsid w:val="78B75C8E"/>
    <w:rsid w:val="78B93E48"/>
    <w:rsid w:val="78C110E2"/>
    <w:rsid w:val="78C30ECB"/>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2D3324"/>
    <w:rsid w:val="79301FB2"/>
    <w:rsid w:val="794A705D"/>
    <w:rsid w:val="795D061C"/>
    <w:rsid w:val="79650117"/>
    <w:rsid w:val="797031C3"/>
    <w:rsid w:val="79710BD9"/>
    <w:rsid w:val="7974330B"/>
    <w:rsid w:val="7978297F"/>
    <w:rsid w:val="79793994"/>
    <w:rsid w:val="797B4475"/>
    <w:rsid w:val="79825A8B"/>
    <w:rsid w:val="79B7133F"/>
    <w:rsid w:val="79B963A4"/>
    <w:rsid w:val="79BA2F94"/>
    <w:rsid w:val="79BC264E"/>
    <w:rsid w:val="79C76293"/>
    <w:rsid w:val="79DD3FF8"/>
    <w:rsid w:val="79E57E94"/>
    <w:rsid w:val="79E6205E"/>
    <w:rsid w:val="79E67EB2"/>
    <w:rsid w:val="79E72FBE"/>
    <w:rsid w:val="79E7444C"/>
    <w:rsid w:val="79EC67AF"/>
    <w:rsid w:val="79EE7B9C"/>
    <w:rsid w:val="7A061B69"/>
    <w:rsid w:val="7A0C2A78"/>
    <w:rsid w:val="7A0D0808"/>
    <w:rsid w:val="7A3A77F5"/>
    <w:rsid w:val="7A425F97"/>
    <w:rsid w:val="7A4821BB"/>
    <w:rsid w:val="7A486959"/>
    <w:rsid w:val="7A49720A"/>
    <w:rsid w:val="7A4C4464"/>
    <w:rsid w:val="7A4C67A1"/>
    <w:rsid w:val="7A4C6804"/>
    <w:rsid w:val="7A4E7DA7"/>
    <w:rsid w:val="7A4F7D90"/>
    <w:rsid w:val="7A500206"/>
    <w:rsid w:val="7A534E94"/>
    <w:rsid w:val="7A5619B9"/>
    <w:rsid w:val="7A5C28B4"/>
    <w:rsid w:val="7A5C303F"/>
    <w:rsid w:val="7A6926DA"/>
    <w:rsid w:val="7A6C21C2"/>
    <w:rsid w:val="7A767354"/>
    <w:rsid w:val="7A7A523B"/>
    <w:rsid w:val="7A8242B4"/>
    <w:rsid w:val="7A845059"/>
    <w:rsid w:val="7A8C4073"/>
    <w:rsid w:val="7A9D6337"/>
    <w:rsid w:val="7AA00320"/>
    <w:rsid w:val="7AA33F9C"/>
    <w:rsid w:val="7AA34E89"/>
    <w:rsid w:val="7AA444FF"/>
    <w:rsid w:val="7AA924EB"/>
    <w:rsid w:val="7AAE73F4"/>
    <w:rsid w:val="7AB1224E"/>
    <w:rsid w:val="7AB631A8"/>
    <w:rsid w:val="7ABA2E49"/>
    <w:rsid w:val="7ABE2243"/>
    <w:rsid w:val="7ABF63A4"/>
    <w:rsid w:val="7AC717FB"/>
    <w:rsid w:val="7ACC0DB4"/>
    <w:rsid w:val="7ACE51E2"/>
    <w:rsid w:val="7AD629C1"/>
    <w:rsid w:val="7AE1254D"/>
    <w:rsid w:val="7AE34F25"/>
    <w:rsid w:val="7AE5007E"/>
    <w:rsid w:val="7AE7721B"/>
    <w:rsid w:val="7AE97C46"/>
    <w:rsid w:val="7AEF0DE2"/>
    <w:rsid w:val="7AF33D1E"/>
    <w:rsid w:val="7AF924FE"/>
    <w:rsid w:val="7AFB3540"/>
    <w:rsid w:val="7AFD6F8A"/>
    <w:rsid w:val="7B1F2D91"/>
    <w:rsid w:val="7B2727AF"/>
    <w:rsid w:val="7B313BEA"/>
    <w:rsid w:val="7B340070"/>
    <w:rsid w:val="7B3771C6"/>
    <w:rsid w:val="7B446093"/>
    <w:rsid w:val="7B5114E6"/>
    <w:rsid w:val="7B6F146B"/>
    <w:rsid w:val="7B767D25"/>
    <w:rsid w:val="7B7A0D42"/>
    <w:rsid w:val="7B8E7955"/>
    <w:rsid w:val="7B907392"/>
    <w:rsid w:val="7B96461A"/>
    <w:rsid w:val="7B996B4F"/>
    <w:rsid w:val="7BA05FB0"/>
    <w:rsid w:val="7BA3783D"/>
    <w:rsid w:val="7BB87BCC"/>
    <w:rsid w:val="7BBE280A"/>
    <w:rsid w:val="7BC03276"/>
    <w:rsid w:val="7BC12229"/>
    <w:rsid w:val="7BCB652D"/>
    <w:rsid w:val="7BCE3168"/>
    <w:rsid w:val="7BF12C1D"/>
    <w:rsid w:val="7BF14DF9"/>
    <w:rsid w:val="7BF16B67"/>
    <w:rsid w:val="7BF417C7"/>
    <w:rsid w:val="7C0E462A"/>
    <w:rsid w:val="7C0F60D8"/>
    <w:rsid w:val="7C194153"/>
    <w:rsid w:val="7C1C5BF5"/>
    <w:rsid w:val="7C266365"/>
    <w:rsid w:val="7C2775B6"/>
    <w:rsid w:val="7C2B192C"/>
    <w:rsid w:val="7C2F62FC"/>
    <w:rsid w:val="7C421DBA"/>
    <w:rsid w:val="7C451D10"/>
    <w:rsid w:val="7C485D6C"/>
    <w:rsid w:val="7C4B3831"/>
    <w:rsid w:val="7C504CDB"/>
    <w:rsid w:val="7C5846F0"/>
    <w:rsid w:val="7C6B4DF6"/>
    <w:rsid w:val="7C6D370B"/>
    <w:rsid w:val="7C6E0DB4"/>
    <w:rsid w:val="7C745B15"/>
    <w:rsid w:val="7C7F1521"/>
    <w:rsid w:val="7C7F3842"/>
    <w:rsid w:val="7C956A9F"/>
    <w:rsid w:val="7C9952E7"/>
    <w:rsid w:val="7C9C0351"/>
    <w:rsid w:val="7C9F2FB0"/>
    <w:rsid w:val="7CA02A08"/>
    <w:rsid w:val="7CAF279A"/>
    <w:rsid w:val="7CB50010"/>
    <w:rsid w:val="7CB62F86"/>
    <w:rsid w:val="7CDC2354"/>
    <w:rsid w:val="7CE84DF9"/>
    <w:rsid w:val="7CF27393"/>
    <w:rsid w:val="7CF56037"/>
    <w:rsid w:val="7CFC12D6"/>
    <w:rsid w:val="7CFF3642"/>
    <w:rsid w:val="7CFF747B"/>
    <w:rsid w:val="7D03372B"/>
    <w:rsid w:val="7D055FEF"/>
    <w:rsid w:val="7D0B2DB7"/>
    <w:rsid w:val="7D0E3BE8"/>
    <w:rsid w:val="7D177444"/>
    <w:rsid w:val="7D1E2AB8"/>
    <w:rsid w:val="7D225ED9"/>
    <w:rsid w:val="7D3C199D"/>
    <w:rsid w:val="7D3D0619"/>
    <w:rsid w:val="7D493B8F"/>
    <w:rsid w:val="7D5407DB"/>
    <w:rsid w:val="7D5D0A96"/>
    <w:rsid w:val="7D684F15"/>
    <w:rsid w:val="7D6A7948"/>
    <w:rsid w:val="7D7C621E"/>
    <w:rsid w:val="7D7D2B7E"/>
    <w:rsid w:val="7D902263"/>
    <w:rsid w:val="7D971697"/>
    <w:rsid w:val="7DA04CA2"/>
    <w:rsid w:val="7DA66D82"/>
    <w:rsid w:val="7DB64F6F"/>
    <w:rsid w:val="7DCD7AF7"/>
    <w:rsid w:val="7DDB4B77"/>
    <w:rsid w:val="7DE844D5"/>
    <w:rsid w:val="7DF30062"/>
    <w:rsid w:val="7DF37C1A"/>
    <w:rsid w:val="7DF801A0"/>
    <w:rsid w:val="7DF87DEB"/>
    <w:rsid w:val="7E0A2072"/>
    <w:rsid w:val="7E332130"/>
    <w:rsid w:val="7E3E2869"/>
    <w:rsid w:val="7E3E3BAD"/>
    <w:rsid w:val="7E511360"/>
    <w:rsid w:val="7E5745A4"/>
    <w:rsid w:val="7E6347AB"/>
    <w:rsid w:val="7E705D8F"/>
    <w:rsid w:val="7E7D7FCC"/>
    <w:rsid w:val="7E903B5A"/>
    <w:rsid w:val="7E947D16"/>
    <w:rsid w:val="7E952C9D"/>
    <w:rsid w:val="7E9D7F57"/>
    <w:rsid w:val="7EA77CDE"/>
    <w:rsid w:val="7EA84C5B"/>
    <w:rsid w:val="7EA96520"/>
    <w:rsid w:val="7EB3726D"/>
    <w:rsid w:val="7ED745E5"/>
    <w:rsid w:val="7EDB32EB"/>
    <w:rsid w:val="7EE41414"/>
    <w:rsid w:val="7EE81D1B"/>
    <w:rsid w:val="7EE96860"/>
    <w:rsid w:val="7EED08AF"/>
    <w:rsid w:val="7EED42FB"/>
    <w:rsid w:val="7EFB691B"/>
    <w:rsid w:val="7F021AEB"/>
    <w:rsid w:val="7F030FD6"/>
    <w:rsid w:val="7F0B4C78"/>
    <w:rsid w:val="7F107F5C"/>
    <w:rsid w:val="7F17354E"/>
    <w:rsid w:val="7F2421F8"/>
    <w:rsid w:val="7F460E73"/>
    <w:rsid w:val="7F50210C"/>
    <w:rsid w:val="7F562765"/>
    <w:rsid w:val="7F58238E"/>
    <w:rsid w:val="7F667424"/>
    <w:rsid w:val="7F6A0670"/>
    <w:rsid w:val="7F6B2488"/>
    <w:rsid w:val="7F6B78DD"/>
    <w:rsid w:val="7F745B07"/>
    <w:rsid w:val="7F8E0615"/>
    <w:rsid w:val="7F903E22"/>
    <w:rsid w:val="7F9E5CE6"/>
    <w:rsid w:val="7F9F1B90"/>
    <w:rsid w:val="7F9F36FE"/>
    <w:rsid w:val="7FA2035C"/>
    <w:rsid w:val="7FBC0707"/>
    <w:rsid w:val="7FC12A33"/>
    <w:rsid w:val="7FC529D7"/>
    <w:rsid w:val="7FC54723"/>
    <w:rsid w:val="7FDA4976"/>
    <w:rsid w:val="7FE75EAD"/>
    <w:rsid w:val="7FF5785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1">
    <w:name w:val="List Bullet 4"/>
    <w:basedOn w:val="1"/>
    <w:qFormat/>
    <w:uiPriority w:val="0"/>
    <w:pPr>
      <w:numPr>
        <w:ilvl w:val="0"/>
        <w:numId w:val="2"/>
      </w:numPr>
      <w:tabs>
        <w:tab w:val="left" w:pos="1600"/>
        <w:tab w:val="clear" w:pos="1418"/>
      </w:tabs>
      <w:ind w:left="1543"/>
    </w:pPr>
  </w:style>
  <w:style w:type="paragraph" w:styleId="22">
    <w:name w:val="List Number"/>
    <w:basedOn w:val="23"/>
    <w:qFormat/>
    <w:uiPriority w:val="0"/>
    <w:pPr>
      <w:numPr>
        <w:ilvl w:val="0"/>
        <w:numId w:val="3"/>
      </w:numPr>
    </w:pPr>
  </w:style>
  <w:style w:type="paragraph" w:styleId="23">
    <w:name w:val="List"/>
    <w:basedOn w:val="1"/>
    <w:link w:val="134"/>
    <w:qFormat/>
    <w:uiPriority w:val="0"/>
    <w:pPr>
      <w:ind w:left="704" w:hanging="420"/>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23"/>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0"/>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23"/>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1"/>
    <w:qFormat/>
    <w:uiPriority w:val="0"/>
    <w:pPr>
      <w:numPr>
        <w:ilvl w:val="0"/>
        <w:numId w:val="10"/>
      </w:numPr>
      <w:spacing w:after="0"/>
    </w:pPr>
    <w:rPr>
      <w:rFonts w:eastAsia="MS Mincho"/>
      <w:b/>
      <w:szCs w:val="24"/>
      <w:lang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tabs>
        <w:tab w:val="left" w:pos="1080"/>
      </w:tabs>
      <w:spacing w:line="480" w:lineRule="auto"/>
    </w:pPr>
    <w:rPr>
      <w:sz w:val="24"/>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23"/>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23"/>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rPr>
      <w:rFonts w:eastAsia="宋体"/>
      <w:lang w:val="en-GB" w:eastAsia="en-US" w:bidi="ar-SA"/>
    </w:rPr>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66">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67">
    <w:name w:val="15"/>
    <w:qFormat/>
    <w:uiPriority w:val="0"/>
    <w:rPr>
      <w:rFonts w:hint="default" w:ascii="CG Times (WN)" w:hAnsi="CG Times (WN)"/>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7</Pages>
  <Words>2448</Words>
  <Characters>13957</Characters>
  <Lines>116</Lines>
  <Paragraphs>32</Paragraphs>
  <TotalTime>17</TotalTime>
  <ScaleCrop>false</ScaleCrop>
  <LinksUpToDate>false</LinksUpToDate>
  <CharactersWithSpaces>16373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2023-02-11T14:08:00Z</dcterms:created>
  <dc:creator>ZTE</dc:creator>
  <cp:lastModifiedBy>Lin Chen</cp:lastModifiedBy>
  <cp:lastPrinted>2009-04-22T01:01:00Z</cp:lastPrinted>
  <dcterms:modified xsi:type="dcterms:W3CDTF">2023-09-29T05:07:00Z</dcterms:modified>
  <dc:title>3GPP TSG-RAN WG2</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9136084C1672475490785C6C0DEADB7E</vt:lpwstr>
  </property>
</Properties>
</file>